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AA0008" w14:textId="77777777" w:rsidR="00BB4AD7" w:rsidRDefault="002D015B">
      <w:pPr>
        <w:pStyle w:val="BodyText"/>
        <w:ind w:left="4060"/>
        <w:rPr>
          <w:rFonts w:ascii="Times New Roman"/>
          <w:sz w:val="20"/>
        </w:rPr>
      </w:pPr>
      <w:r>
        <w:rPr>
          <w:rFonts w:ascii="Times New Roman"/>
          <w:noProof/>
          <w:sz w:val="20"/>
        </w:rPr>
        <w:drawing>
          <wp:inline distT="0" distB="0" distL="0" distR="0" wp14:anchorId="1D5FCAAC" wp14:editId="7EEEF655">
            <wp:extent cx="874473" cy="1399031"/>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7" cstate="print"/>
                    <a:stretch>
                      <a:fillRect/>
                    </a:stretch>
                  </pic:blipFill>
                  <pic:spPr>
                    <a:xfrm>
                      <a:off x="0" y="0"/>
                      <a:ext cx="874473" cy="1399031"/>
                    </a:xfrm>
                    <a:prstGeom prst="rect">
                      <a:avLst/>
                    </a:prstGeom>
                  </pic:spPr>
                </pic:pic>
              </a:graphicData>
            </a:graphic>
          </wp:inline>
        </w:drawing>
      </w:r>
    </w:p>
    <w:p w14:paraId="5DD00FF7" w14:textId="77777777" w:rsidR="00BB4AD7" w:rsidRDefault="00BB4AD7">
      <w:pPr>
        <w:pStyle w:val="BodyText"/>
        <w:rPr>
          <w:rFonts w:ascii="Times New Roman"/>
          <w:sz w:val="20"/>
        </w:rPr>
      </w:pPr>
    </w:p>
    <w:p w14:paraId="12016780" w14:textId="77777777" w:rsidR="00BB4AD7" w:rsidRDefault="00BB4AD7">
      <w:pPr>
        <w:pStyle w:val="BodyText"/>
        <w:rPr>
          <w:rFonts w:ascii="Times New Roman"/>
          <w:sz w:val="20"/>
        </w:rPr>
      </w:pPr>
    </w:p>
    <w:p w14:paraId="5AEC5B23" w14:textId="77777777" w:rsidR="00BB4AD7" w:rsidRDefault="00DF23AD">
      <w:pPr>
        <w:pStyle w:val="BodyText"/>
        <w:spacing w:before="7"/>
        <w:rPr>
          <w:rFonts w:ascii="Times New Roman"/>
          <w:sz w:val="20"/>
        </w:rPr>
      </w:pPr>
      <w:r>
        <w:pict w14:anchorId="0319C572">
          <v:shapetype id="_x0000_t202" coordsize="21600,21600" o:spt="202" path="m,l,21600r21600,l21600,xe">
            <v:stroke joinstyle="miter"/>
            <v:path gradientshapeok="t" o:connecttype="rect"/>
          </v:shapetype>
          <v:shape id="_x0000_s1032" type="#_x0000_t202" style="position:absolute;margin-left:90pt;margin-top:13.05pt;width:450.1pt;height:72.05pt;z-index:-15728640;mso-wrap-distance-left:0;mso-wrap-distance-right:0;mso-position-horizontal-relative:page" fillcolor="#8dc53e" stroked="f">
            <v:textbox inset="0,0,0,0">
              <w:txbxContent>
                <w:p w14:paraId="521235C4" w14:textId="77777777" w:rsidR="00BB4AD7" w:rsidRDefault="002D015B">
                  <w:pPr>
                    <w:spacing w:before="110"/>
                    <w:ind w:left="2797" w:right="2857"/>
                    <w:jc w:val="center"/>
                    <w:rPr>
                      <w:rFonts w:ascii="Calibri"/>
                      <w:b/>
                      <w:sz w:val="28"/>
                    </w:rPr>
                  </w:pPr>
                  <w:r>
                    <w:rPr>
                      <w:rFonts w:ascii="Calibri"/>
                      <w:b/>
                      <w:color w:val="FFFFFF"/>
                      <w:sz w:val="28"/>
                    </w:rPr>
                    <w:t>AGRICULTURE</w:t>
                  </w:r>
                </w:p>
                <w:p w14:paraId="1FA589DB" w14:textId="173E4F42" w:rsidR="00BB4AD7" w:rsidRDefault="002D015B">
                  <w:pPr>
                    <w:spacing w:before="90"/>
                    <w:ind w:left="2797" w:right="2858"/>
                    <w:jc w:val="center"/>
                    <w:rPr>
                      <w:sz w:val="32"/>
                    </w:rPr>
                  </w:pPr>
                  <w:r>
                    <w:rPr>
                      <w:color w:val="FFFFFF"/>
                      <w:sz w:val="32"/>
                    </w:rPr>
                    <w:t xml:space="preserve">VFD ON </w:t>
                  </w:r>
                  <w:r w:rsidR="003E3A17">
                    <w:rPr>
                      <w:color w:val="FFFFFF"/>
                      <w:sz w:val="32"/>
                    </w:rPr>
                    <w:t>AG</w:t>
                  </w:r>
                  <w:r>
                    <w:rPr>
                      <w:color w:val="FFFFFF"/>
                      <w:sz w:val="32"/>
                    </w:rPr>
                    <w:t xml:space="preserve"> PUMP</w:t>
                  </w:r>
                </w:p>
                <w:p w14:paraId="2CA64E62" w14:textId="77777777" w:rsidR="00BB4AD7" w:rsidRDefault="002D015B">
                  <w:pPr>
                    <w:spacing w:before="128"/>
                    <w:ind w:left="2797" w:right="2797"/>
                    <w:jc w:val="center"/>
                    <w:rPr>
                      <w:sz w:val="28"/>
                    </w:rPr>
                  </w:pPr>
                  <w:r>
                    <w:rPr>
                      <w:color w:val="FFFFFF"/>
                      <w:sz w:val="28"/>
                    </w:rPr>
                    <w:t>SWWP002-0</w:t>
                  </w:r>
                  <w:r w:rsidR="00F01B55">
                    <w:rPr>
                      <w:color w:val="FFFFFF"/>
                      <w:sz w:val="28"/>
                    </w:rPr>
                    <w:t>2</w:t>
                  </w:r>
                </w:p>
              </w:txbxContent>
            </v:textbox>
            <w10:wrap type="topAndBottom" anchorx="page"/>
          </v:shape>
        </w:pict>
      </w:r>
    </w:p>
    <w:p w14:paraId="4FF8E18A" w14:textId="77777777" w:rsidR="00BB4AD7" w:rsidRDefault="00BB4AD7">
      <w:pPr>
        <w:pStyle w:val="BodyText"/>
        <w:rPr>
          <w:rFonts w:ascii="Times New Roman"/>
          <w:sz w:val="20"/>
        </w:rPr>
      </w:pPr>
    </w:p>
    <w:p w14:paraId="19F14174" w14:textId="77777777" w:rsidR="00BB4AD7" w:rsidRDefault="00BB4AD7">
      <w:pPr>
        <w:pStyle w:val="BodyText"/>
        <w:spacing w:before="1"/>
        <w:rPr>
          <w:rFonts w:ascii="Times New Roman"/>
          <w:sz w:val="19"/>
        </w:rPr>
      </w:pPr>
    </w:p>
    <w:p w14:paraId="5768BC35" w14:textId="77777777" w:rsidR="00BB4AD7" w:rsidRDefault="002D015B">
      <w:pPr>
        <w:spacing w:before="44"/>
        <w:ind w:left="3907" w:right="4264"/>
        <w:jc w:val="center"/>
        <w:rPr>
          <w:sz w:val="28"/>
        </w:rPr>
      </w:pPr>
      <w:r>
        <w:rPr>
          <w:sz w:val="28"/>
        </w:rPr>
        <w:t>C O N T E N T S</w:t>
      </w:r>
    </w:p>
    <w:sdt>
      <w:sdtPr>
        <w:id w:val="1878501691"/>
        <w:docPartObj>
          <w:docPartGallery w:val="Table of Contents"/>
          <w:docPartUnique/>
        </w:docPartObj>
      </w:sdtPr>
      <w:sdtEndPr/>
      <w:sdtContent>
        <w:p w14:paraId="129BDF12" w14:textId="103A2E74" w:rsidR="0064120F" w:rsidRDefault="002D015B">
          <w:pPr>
            <w:pStyle w:val="TOC1"/>
            <w:tabs>
              <w:tab w:val="right" w:leader="dot" w:pos="9870"/>
            </w:tabs>
            <w:rPr>
              <w:rFonts w:asciiTheme="minorHAnsi" w:eastAsiaTheme="minorEastAsia" w:hAnsiTheme="minorHAnsi" w:cstheme="minorBidi"/>
              <w:noProof/>
            </w:rPr>
          </w:pPr>
          <w:r>
            <w:fldChar w:fldCharType="begin"/>
          </w:r>
          <w:r>
            <w:instrText xml:space="preserve">TOC \o "1-1" \h \z \u </w:instrText>
          </w:r>
          <w:r>
            <w:fldChar w:fldCharType="separate"/>
          </w:r>
          <w:hyperlink w:anchor="_Toc58850228" w:history="1">
            <w:r w:rsidR="0064120F" w:rsidRPr="00187A0E">
              <w:rPr>
                <w:rStyle w:val="Hyperlink"/>
                <w:noProof/>
              </w:rPr>
              <w:t>MEASURE</w:t>
            </w:r>
            <w:r w:rsidR="0064120F" w:rsidRPr="00187A0E">
              <w:rPr>
                <w:rStyle w:val="Hyperlink"/>
                <w:noProof/>
                <w:spacing w:val="27"/>
              </w:rPr>
              <w:t xml:space="preserve"> </w:t>
            </w:r>
            <w:r w:rsidR="0064120F" w:rsidRPr="00187A0E">
              <w:rPr>
                <w:rStyle w:val="Hyperlink"/>
                <w:noProof/>
              </w:rPr>
              <w:t>NAME</w:t>
            </w:r>
            <w:r w:rsidR="0064120F">
              <w:rPr>
                <w:noProof/>
                <w:webHidden/>
              </w:rPr>
              <w:tab/>
            </w:r>
            <w:r w:rsidR="0064120F">
              <w:rPr>
                <w:noProof/>
                <w:webHidden/>
              </w:rPr>
              <w:fldChar w:fldCharType="begin"/>
            </w:r>
            <w:r w:rsidR="0064120F">
              <w:rPr>
                <w:noProof/>
                <w:webHidden/>
              </w:rPr>
              <w:instrText xml:space="preserve"> PAGEREF _Toc58850228 \h </w:instrText>
            </w:r>
            <w:r w:rsidR="0064120F">
              <w:rPr>
                <w:noProof/>
                <w:webHidden/>
              </w:rPr>
            </w:r>
            <w:r w:rsidR="0064120F">
              <w:rPr>
                <w:noProof/>
                <w:webHidden/>
              </w:rPr>
              <w:fldChar w:fldCharType="separate"/>
            </w:r>
            <w:r w:rsidR="0064120F">
              <w:rPr>
                <w:noProof/>
                <w:webHidden/>
              </w:rPr>
              <w:t>2</w:t>
            </w:r>
            <w:r w:rsidR="0064120F">
              <w:rPr>
                <w:noProof/>
                <w:webHidden/>
              </w:rPr>
              <w:fldChar w:fldCharType="end"/>
            </w:r>
          </w:hyperlink>
        </w:p>
        <w:p w14:paraId="00C97BE7" w14:textId="50D3BC3E" w:rsidR="0064120F" w:rsidRDefault="00DF23AD">
          <w:pPr>
            <w:pStyle w:val="TOC1"/>
            <w:tabs>
              <w:tab w:val="right" w:leader="dot" w:pos="9870"/>
            </w:tabs>
            <w:rPr>
              <w:rFonts w:asciiTheme="minorHAnsi" w:eastAsiaTheme="minorEastAsia" w:hAnsiTheme="minorHAnsi" w:cstheme="minorBidi"/>
              <w:noProof/>
            </w:rPr>
          </w:pPr>
          <w:hyperlink w:anchor="_Toc58850229" w:history="1">
            <w:r w:rsidR="0064120F" w:rsidRPr="00187A0E">
              <w:rPr>
                <w:rStyle w:val="Hyperlink"/>
                <w:noProof/>
              </w:rPr>
              <w:t>STATEWIDE MEASURE ID</w:t>
            </w:r>
            <w:r w:rsidR="0064120F">
              <w:rPr>
                <w:noProof/>
                <w:webHidden/>
              </w:rPr>
              <w:tab/>
            </w:r>
            <w:r w:rsidR="0064120F">
              <w:rPr>
                <w:noProof/>
                <w:webHidden/>
              </w:rPr>
              <w:fldChar w:fldCharType="begin"/>
            </w:r>
            <w:r w:rsidR="0064120F">
              <w:rPr>
                <w:noProof/>
                <w:webHidden/>
              </w:rPr>
              <w:instrText xml:space="preserve"> PAGEREF _Toc58850229 \h </w:instrText>
            </w:r>
            <w:r w:rsidR="0064120F">
              <w:rPr>
                <w:noProof/>
                <w:webHidden/>
              </w:rPr>
            </w:r>
            <w:r w:rsidR="0064120F">
              <w:rPr>
                <w:noProof/>
                <w:webHidden/>
              </w:rPr>
              <w:fldChar w:fldCharType="separate"/>
            </w:r>
            <w:r w:rsidR="0064120F">
              <w:rPr>
                <w:noProof/>
                <w:webHidden/>
              </w:rPr>
              <w:t>2</w:t>
            </w:r>
            <w:r w:rsidR="0064120F">
              <w:rPr>
                <w:noProof/>
                <w:webHidden/>
              </w:rPr>
              <w:fldChar w:fldCharType="end"/>
            </w:r>
          </w:hyperlink>
        </w:p>
        <w:p w14:paraId="4CA2EF89" w14:textId="365E7DC1" w:rsidR="0064120F" w:rsidRDefault="00DF23AD">
          <w:pPr>
            <w:pStyle w:val="TOC1"/>
            <w:tabs>
              <w:tab w:val="right" w:leader="dot" w:pos="9870"/>
            </w:tabs>
            <w:rPr>
              <w:rFonts w:asciiTheme="minorHAnsi" w:eastAsiaTheme="minorEastAsia" w:hAnsiTheme="minorHAnsi" w:cstheme="minorBidi"/>
              <w:noProof/>
            </w:rPr>
          </w:pPr>
          <w:hyperlink w:anchor="_Toc58850230" w:history="1">
            <w:r w:rsidR="0064120F" w:rsidRPr="00187A0E">
              <w:rPr>
                <w:rStyle w:val="Hyperlink"/>
                <w:noProof/>
              </w:rPr>
              <w:t>TECHNOLOGY SUMMARY</w:t>
            </w:r>
            <w:r w:rsidR="0064120F">
              <w:rPr>
                <w:noProof/>
                <w:webHidden/>
              </w:rPr>
              <w:tab/>
            </w:r>
            <w:r w:rsidR="0064120F">
              <w:rPr>
                <w:noProof/>
                <w:webHidden/>
              </w:rPr>
              <w:fldChar w:fldCharType="begin"/>
            </w:r>
            <w:r w:rsidR="0064120F">
              <w:rPr>
                <w:noProof/>
                <w:webHidden/>
              </w:rPr>
              <w:instrText xml:space="preserve"> PAGEREF _Toc58850230 \h </w:instrText>
            </w:r>
            <w:r w:rsidR="0064120F">
              <w:rPr>
                <w:noProof/>
                <w:webHidden/>
              </w:rPr>
            </w:r>
            <w:r w:rsidR="0064120F">
              <w:rPr>
                <w:noProof/>
                <w:webHidden/>
              </w:rPr>
              <w:fldChar w:fldCharType="separate"/>
            </w:r>
            <w:r w:rsidR="0064120F">
              <w:rPr>
                <w:noProof/>
                <w:webHidden/>
              </w:rPr>
              <w:t>2</w:t>
            </w:r>
            <w:r w:rsidR="0064120F">
              <w:rPr>
                <w:noProof/>
                <w:webHidden/>
              </w:rPr>
              <w:fldChar w:fldCharType="end"/>
            </w:r>
          </w:hyperlink>
        </w:p>
        <w:p w14:paraId="21CC3177" w14:textId="18BC95D6" w:rsidR="0064120F" w:rsidRDefault="00DF23AD">
          <w:pPr>
            <w:pStyle w:val="TOC1"/>
            <w:tabs>
              <w:tab w:val="right" w:leader="dot" w:pos="9870"/>
            </w:tabs>
            <w:rPr>
              <w:rFonts w:asciiTheme="minorHAnsi" w:eastAsiaTheme="minorEastAsia" w:hAnsiTheme="minorHAnsi" w:cstheme="minorBidi"/>
              <w:noProof/>
            </w:rPr>
          </w:pPr>
          <w:hyperlink w:anchor="_Toc58850231" w:history="1">
            <w:r w:rsidR="0064120F" w:rsidRPr="00187A0E">
              <w:rPr>
                <w:rStyle w:val="Hyperlink"/>
                <w:noProof/>
              </w:rPr>
              <w:t>MEASURE CASE DESCRIPTION</w:t>
            </w:r>
            <w:r w:rsidR="0064120F">
              <w:rPr>
                <w:noProof/>
                <w:webHidden/>
              </w:rPr>
              <w:tab/>
            </w:r>
            <w:r w:rsidR="0064120F">
              <w:rPr>
                <w:noProof/>
                <w:webHidden/>
              </w:rPr>
              <w:fldChar w:fldCharType="begin"/>
            </w:r>
            <w:r w:rsidR="0064120F">
              <w:rPr>
                <w:noProof/>
                <w:webHidden/>
              </w:rPr>
              <w:instrText xml:space="preserve"> PAGEREF _Toc58850231 \h </w:instrText>
            </w:r>
            <w:r w:rsidR="0064120F">
              <w:rPr>
                <w:noProof/>
                <w:webHidden/>
              </w:rPr>
            </w:r>
            <w:r w:rsidR="0064120F">
              <w:rPr>
                <w:noProof/>
                <w:webHidden/>
              </w:rPr>
              <w:fldChar w:fldCharType="separate"/>
            </w:r>
            <w:r w:rsidR="0064120F">
              <w:rPr>
                <w:noProof/>
                <w:webHidden/>
              </w:rPr>
              <w:t>2</w:t>
            </w:r>
            <w:r w:rsidR="0064120F">
              <w:rPr>
                <w:noProof/>
                <w:webHidden/>
              </w:rPr>
              <w:fldChar w:fldCharType="end"/>
            </w:r>
          </w:hyperlink>
        </w:p>
        <w:p w14:paraId="3192673E" w14:textId="17849697" w:rsidR="0064120F" w:rsidRDefault="00DF23AD">
          <w:pPr>
            <w:pStyle w:val="TOC1"/>
            <w:tabs>
              <w:tab w:val="right" w:leader="dot" w:pos="9870"/>
            </w:tabs>
            <w:rPr>
              <w:rFonts w:asciiTheme="minorHAnsi" w:eastAsiaTheme="minorEastAsia" w:hAnsiTheme="minorHAnsi" w:cstheme="minorBidi"/>
              <w:noProof/>
            </w:rPr>
          </w:pPr>
          <w:hyperlink w:anchor="_Toc58850232" w:history="1">
            <w:r w:rsidR="0064120F" w:rsidRPr="00187A0E">
              <w:rPr>
                <w:rStyle w:val="Hyperlink"/>
                <w:noProof/>
              </w:rPr>
              <w:t>BASE CASE DESCRIPTION</w:t>
            </w:r>
            <w:r w:rsidR="0064120F">
              <w:rPr>
                <w:noProof/>
                <w:webHidden/>
              </w:rPr>
              <w:tab/>
            </w:r>
            <w:r w:rsidR="0064120F">
              <w:rPr>
                <w:noProof/>
                <w:webHidden/>
              </w:rPr>
              <w:fldChar w:fldCharType="begin"/>
            </w:r>
            <w:r w:rsidR="0064120F">
              <w:rPr>
                <w:noProof/>
                <w:webHidden/>
              </w:rPr>
              <w:instrText xml:space="preserve"> PAGEREF _Toc58850232 \h </w:instrText>
            </w:r>
            <w:r w:rsidR="0064120F">
              <w:rPr>
                <w:noProof/>
                <w:webHidden/>
              </w:rPr>
            </w:r>
            <w:r w:rsidR="0064120F">
              <w:rPr>
                <w:noProof/>
                <w:webHidden/>
              </w:rPr>
              <w:fldChar w:fldCharType="separate"/>
            </w:r>
            <w:r w:rsidR="0064120F">
              <w:rPr>
                <w:noProof/>
                <w:webHidden/>
              </w:rPr>
              <w:t>3</w:t>
            </w:r>
            <w:r w:rsidR="0064120F">
              <w:rPr>
                <w:noProof/>
                <w:webHidden/>
              </w:rPr>
              <w:fldChar w:fldCharType="end"/>
            </w:r>
          </w:hyperlink>
        </w:p>
        <w:p w14:paraId="588F742A" w14:textId="1F03D129" w:rsidR="0064120F" w:rsidRDefault="00DF23AD">
          <w:pPr>
            <w:pStyle w:val="TOC1"/>
            <w:tabs>
              <w:tab w:val="right" w:leader="dot" w:pos="9870"/>
            </w:tabs>
            <w:rPr>
              <w:rFonts w:asciiTheme="minorHAnsi" w:eastAsiaTheme="minorEastAsia" w:hAnsiTheme="minorHAnsi" w:cstheme="minorBidi"/>
              <w:noProof/>
            </w:rPr>
          </w:pPr>
          <w:hyperlink w:anchor="_Toc58850233" w:history="1">
            <w:r w:rsidR="0064120F" w:rsidRPr="00187A0E">
              <w:rPr>
                <w:rStyle w:val="Hyperlink"/>
                <w:noProof/>
              </w:rPr>
              <w:t>CODE REQUIREMENTS</w:t>
            </w:r>
            <w:r w:rsidR="0064120F">
              <w:rPr>
                <w:noProof/>
                <w:webHidden/>
              </w:rPr>
              <w:tab/>
            </w:r>
            <w:r w:rsidR="0064120F">
              <w:rPr>
                <w:noProof/>
                <w:webHidden/>
              </w:rPr>
              <w:fldChar w:fldCharType="begin"/>
            </w:r>
            <w:r w:rsidR="0064120F">
              <w:rPr>
                <w:noProof/>
                <w:webHidden/>
              </w:rPr>
              <w:instrText xml:space="preserve"> PAGEREF _Toc58850233 \h </w:instrText>
            </w:r>
            <w:r w:rsidR="0064120F">
              <w:rPr>
                <w:noProof/>
                <w:webHidden/>
              </w:rPr>
            </w:r>
            <w:r w:rsidR="0064120F">
              <w:rPr>
                <w:noProof/>
                <w:webHidden/>
              </w:rPr>
              <w:fldChar w:fldCharType="separate"/>
            </w:r>
            <w:r w:rsidR="0064120F">
              <w:rPr>
                <w:noProof/>
                <w:webHidden/>
              </w:rPr>
              <w:t>3</w:t>
            </w:r>
            <w:r w:rsidR="0064120F">
              <w:rPr>
                <w:noProof/>
                <w:webHidden/>
              </w:rPr>
              <w:fldChar w:fldCharType="end"/>
            </w:r>
          </w:hyperlink>
        </w:p>
        <w:p w14:paraId="12684368" w14:textId="27536AED" w:rsidR="0064120F" w:rsidRDefault="00DF23AD">
          <w:pPr>
            <w:pStyle w:val="TOC1"/>
            <w:tabs>
              <w:tab w:val="right" w:leader="dot" w:pos="9870"/>
            </w:tabs>
            <w:rPr>
              <w:rFonts w:asciiTheme="minorHAnsi" w:eastAsiaTheme="minorEastAsia" w:hAnsiTheme="minorHAnsi" w:cstheme="minorBidi"/>
              <w:noProof/>
            </w:rPr>
          </w:pPr>
          <w:hyperlink w:anchor="_Toc58850234" w:history="1">
            <w:r w:rsidR="0064120F" w:rsidRPr="00187A0E">
              <w:rPr>
                <w:rStyle w:val="Hyperlink"/>
                <w:noProof/>
              </w:rPr>
              <w:t>NORMALIZING UNIT</w:t>
            </w:r>
            <w:r w:rsidR="0064120F">
              <w:rPr>
                <w:noProof/>
                <w:webHidden/>
              </w:rPr>
              <w:tab/>
            </w:r>
            <w:r w:rsidR="0064120F">
              <w:rPr>
                <w:noProof/>
                <w:webHidden/>
              </w:rPr>
              <w:fldChar w:fldCharType="begin"/>
            </w:r>
            <w:r w:rsidR="0064120F">
              <w:rPr>
                <w:noProof/>
                <w:webHidden/>
              </w:rPr>
              <w:instrText xml:space="preserve"> PAGEREF _Toc58850234 \h </w:instrText>
            </w:r>
            <w:r w:rsidR="0064120F">
              <w:rPr>
                <w:noProof/>
                <w:webHidden/>
              </w:rPr>
            </w:r>
            <w:r w:rsidR="0064120F">
              <w:rPr>
                <w:noProof/>
                <w:webHidden/>
              </w:rPr>
              <w:fldChar w:fldCharType="separate"/>
            </w:r>
            <w:r w:rsidR="0064120F">
              <w:rPr>
                <w:noProof/>
                <w:webHidden/>
              </w:rPr>
              <w:t>3</w:t>
            </w:r>
            <w:r w:rsidR="0064120F">
              <w:rPr>
                <w:noProof/>
                <w:webHidden/>
              </w:rPr>
              <w:fldChar w:fldCharType="end"/>
            </w:r>
          </w:hyperlink>
        </w:p>
        <w:p w14:paraId="44EE9F95" w14:textId="7C44907C" w:rsidR="0064120F" w:rsidRDefault="00DF23AD">
          <w:pPr>
            <w:pStyle w:val="TOC1"/>
            <w:tabs>
              <w:tab w:val="right" w:leader="dot" w:pos="9870"/>
            </w:tabs>
            <w:rPr>
              <w:rFonts w:asciiTheme="minorHAnsi" w:eastAsiaTheme="minorEastAsia" w:hAnsiTheme="minorHAnsi" w:cstheme="minorBidi"/>
              <w:noProof/>
            </w:rPr>
          </w:pPr>
          <w:hyperlink w:anchor="_Toc58850235" w:history="1">
            <w:r w:rsidR="0064120F" w:rsidRPr="00187A0E">
              <w:rPr>
                <w:rStyle w:val="Hyperlink"/>
                <w:noProof/>
              </w:rPr>
              <w:t>PROGRAM REQUIREMENTS</w:t>
            </w:r>
            <w:r w:rsidR="0064120F">
              <w:rPr>
                <w:noProof/>
                <w:webHidden/>
              </w:rPr>
              <w:tab/>
            </w:r>
            <w:r w:rsidR="0064120F">
              <w:rPr>
                <w:noProof/>
                <w:webHidden/>
              </w:rPr>
              <w:fldChar w:fldCharType="begin"/>
            </w:r>
            <w:r w:rsidR="0064120F">
              <w:rPr>
                <w:noProof/>
                <w:webHidden/>
              </w:rPr>
              <w:instrText xml:space="preserve"> PAGEREF _Toc58850235 \h </w:instrText>
            </w:r>
            <w:r w:rsidR="0064120F">
              <w:rPr>
                <w:noProof/>
                <w:webHidden/>
              </w:rPr>
            </w:r>
            <w:r w:rsidR="0064120F">
              <w:rPr>
                <w:noProof/>
                <w:webHidden/>
              </w:rPr>
              <w:fldChar w:fldCharType="separate"/>
            </w:r>
            <w:r w:rsidR="0064120F">
              <w:rPr>
                <w:noProof/>
                <w:webHidden/>
              </w:rPr>
              <w:t>4</w:t>
            </w:r>
            <w:r w:rsidR="0064120F">
              <w:rPr>
                <w:noProof/>
                <w:webHidden/>
              </w:rPr>
              <w:fldChar w:fldCharType="end"/>
            </w:r>
          </w:hyperlink>
        </w:p>
        <w:p w14:paraId="116CF6D1" w14:textId="7546B576" w:rsidR="0064120F" w:rsidRDefault="00DF23AD">
          <w:pPr>
            <w:pStyle w:val="TOC1"/>
            <w:tabs>
              <w:tab w:val="right" w:leader="dot" w:pos="9870"/>
            </w:tabs>
            <w:rPr>
              <w:rFonts w:asciiTheme="minorHAnsi" w:eastAsiaTheme="minorEastAsia" w:hAnsiTheme="minorHAnsi" w:cstheme="minorBidi"/>
              <w:noProof/>
            </w:rPr>
          </w:pPr>
          <w:hyperlink w:anchor="_Toc58850236" w:history="1">
            <w:r w:rsidR="0064120F" w:rsidRPr="00187A0E">
              <w:rPr>
                <w:rStyle w:val="Hyperlink"/>
                <w:noProof/>
              </w:rPr>
              <w:t>PROGRAM EXCLUSIONS</w:t>
            </w:r>
            <w:r w:rsidR="0064120F">
              <w:rPr>
                <w:noProof/>
                <w:webHidden/>
              </w:rPr>
              <w:tab/>
            </w:r>
            <w:r w:rsidR="0064120F">
              <w:rPr>
                <w:noProof/>
                <w:webHidden/>
              </w:rPr>
              <w:fldChar w:fldCharType="begin"/>
            </w:r>
            <w:r w:rsidR="0064120F">
              <w:rPr>
                <w:noProof/>
                <w:webHidden/>
              </w:rPr>
              <w:instrText xml:space="preserve"> PAGEREF _Toc58850236 \h </w:instrText>
            </w:r>
            <w:r w:rsidR="0064120F">
              <w:rPr>
                <w:noProof/>
                <w:webHidden/>
              </w:rPr>
            </w:r>
            <w:r w:rsidR="0064120F">
              <w:rPr>
                <w:noProof/>
                <w:webHidden/>
              </w:rPr>
              <w:fldChar w:fldCharType="separate"/>
            </w:r>
            <w:r w:rsidR="0064120F">
              <w:rPr>
                <w:noProof/>
                <w:webHidden/>
              </w:rPr>
              <w:t>5</w:t>
            </w:r>
            <w:r w:rsidR="0064120F">
              <w:rPr>
                <w:noProof/>
                <w:webHidden/>
              </w:rPr>
              <w:fldChar w:fldCharType="end"/>
            </w:r>
          </w:hyperlink>
        </w:p>
        <w:p w14:paraId="1C4561AE" w14:textId="2990854A" w:rsidR="0064120F" w:rsidRDefault="00DF23AD">
          <w:pPr>
            <w:pStyle w:val="TOC1"/>
            <w:tabs>
              <w:tab w:val="right" w:leader="dot" w:pos="9870"/>
            </w:tabs>
            <w:rPr>
              <w:rFonts w:asciiTheme="minorHAnsi" w:eastAsiaTheme="minorEastAsia" w:hAnsiTheme="minorHAnsi" w:cstheme="minorBidi"/>
              <w:noProof/>
            </w:rPr>
          </w:pPr>
          <w:hyperlink w:anchor="_Toc58850237" w:history="1">
            <w:r w:rsidR="0064120F" w:rsidRPr="00187A0E">
              <w:rPr>
                <w:rStyle w:val="Hyperlink"/>
                <w:noProof/>
              </w:rPr>
              <w:t>DATA COLLECTION REQUIREMENTS</w:t>
            </w:r>
            <w:r w:rsidR="0064120F">
              <w:rPr>
                <w:noProof/>
                <w:webHidden/>
              </w:rPr>
              <w:tab/>
            </w:r>
            <w:r w:rsidR="0064120F">
              <w:rPr>
                <w:noProof/>
                <w:webHidden/>
              </w:rPr>
              <w:fldChar w:fldCharType="begin"/>
            </w:r>
            <w:r w:rsidR="0064120F">
              <w:rPr>
                <w:noProof/>
                <w:webHidden/>
              </w:rPr>
              <w:instrText xml:space="preserve"> PAGEREF _Toc58850237 \h </w:instrText>
            </w:r>
            <w:r w:rsidR="0064120F">
              <w:rPr>
                <w:noProof/>
                <w:webHidden/>
              </w:rPr>
            </w:r>
            <w:r w:rsidR="0064120F">
              <w:rPr>
                <w:noProof/>
                <w:webHidden/>
              </w:rPr>
              <w:fldChar w:fldCharType="separate"/>
            </w:r>
            <w:r w:rsidR="0064120F">
              <w:rPr>
                <w:noProof/>
                <w:webHidden/>
              </w:rPr>
              <w:t>5</w:t>
            </w:r>
            <w:r w:rsidR="0064120F">
              <w:rPr>
                <w:noProof/>
                <w:webHidden/>
              </w:rPr>
              <w:fldChar w:fldCharType="end"/>
            </w:r>
          </w:hyperlink>
        </w:p>
        <w:p w14:paraId="2CC11B11" w14:textId="3D8E580A" w:rsidR="0064120F" w:rsidRDefault="00DF23AD">
          <w:pPr>
            <w:pStyle w:val="TOC1"/>
            <w:tabs>
              <w:tab w:val="right" w:leader="dot" w:pos="9870"/>
            </w:tabs>
            <w:rPr>
              <w:rFonts w:asciiTheme="minorHAnsi" w:eastAsiaTheme="minorEastAsia" w:hAnsiTheme="minorHAnsi" w:cstheme="minorBidi"/>
              <w:noProof/>
            </w:rPr>
          </w:pPr>
          <w:hyperlink w:anchor="_Toc58850238" w:history="1">
            <w:r w:rsidR="0064120F" w:rsidRPr="00187A0E">
              <w:rPr>
                <w:rStyle w:val="Hyperlink"/>
                <w:noProof/>
              </w:rPr>
              <w:t>USE CATEGORY</w:t>
            </w:r>
            <w:r w:rsidR="0064120F">
              <w:rPr>
                <w:noProof/>
                <w:webHidden/>
              </w:rPr>
              <w:tab/>
            </w:r>
            <w:r w:rsidR="0064120F">
              <w:rPr>
                <w:noProof/>
                <w:webHidden/>
              </w:rPr>
              <w:fldChar w:fldCharType="begin"/>
            </w:r>
            <w:r w:rsidR="0064120F">
              <w:rPr>
                <w:noProof/>
                <w:webHidden/>
              </w:rPr>
              <w:instrText xml:space="preserve"> PAGEREF _Toc58850238 \h </w:instrText>
            </w:r>
            <w:r w:rsidR="0064120F">
              <w:rPr>
                <w:noProof/>
                <w:webHidden/>
              </w:rPr>
            </w:r>
            <w:r w:rsidR="0064120F">
              <w:rPr>
                <w:noProof/>
                <w:webHidden/>
              </w:rPr>
              <w:fldChar w:fldCharType="separate"/>
            </w:r>
            <w:r w:rsidR="0064120F">
              <w:rPr>
                <w:noProof/>
                <w:webHidden/>
              </w:rPr>
              <w:t>5</w:t>
            </w:r>
            <w:r w:rsidR="0064120F">
              <w:rPr>
                <w:noProof/>
                <w:webHidden/>
              </w:rPr>
              <w:fldChar w:fldCharType="end"/>
            </w:r>
          </w:hyperlink>
        </w:p>
        <w:p w14:paraId="07382043" w14:textId="1C428D74" w:rsidR="0064120F" w:rsidRDefault="00DF23AD">
          <w:pPr>
            <w:pStyle w:val="TOC1"/>
            <w:tabs>
              <w:tab w:val="right" w:leader="dot" w:pos="9870"/>
            </w:tabs>
            <w:rPr>
              <w:rFonts w:asciiTheme="minorHAnsi" w:eastAsiaTheme="minorEastAsia" w:hAnsiTheme="minorHAnsi" w:cstheme="minorBidi"/>
              <w:noProof/>
            </w:rPr>
          </w:pPr>
          <w:hyperlink w:anchor="_Toc58850239" w:history="1">
            <w:r w:rsidR="0064120F" w:rsidRPr="00187A0E">
              <w:rPr>
                <w:rStyle w:val="Hyperlink"/>
                <w:noProof/>
              </w:rPr>
              <w:t>ELECTRIC SAVINGS (kWh)</w:t>
            </w:r>
            <w:r w:rsidR="0064120F">
              <w:rPr>
                <w:noProof/>
                <w:webHidden/>
              </w:rPr>
              <w:tab/>
            </w:r>
            <w:r w:rsidR="0064120F">
              <w:rPr>
                <w:noProof/>
                <w:webHidden/>
              </w:rPr>
              <w:fldChar w:fldCharType="begin"/>
            </w:r>
            <w:r w:rsidR="0064120F">
              <w:rPr>
                <w:noProof/>
                <w:webHidden/>
              </w:rPr>
              <w:instrText xml:space="preserve"> PAGEREF _Toc58850239 \h </w:instrText>
            </w:r>
            <w:r w:rsidR="0064120F">
              <w:rPr>
                <w:noProof/>
                <w:webHidden/>
              </w:rPr>
            </w:r>
            <w:r w:rsidR="0064120F">
              <w:rPr>
                <w:noProof/>
                <w:webHidden/>
              </w:rPr>
              <w:fldChar w:fldCharType="separate"/>
            </w:r>
            <w:r w:rsidR="0064120F">
              <w:rPr>
                <w:noProof/>
                <w:webHidden/>
              </w:rPr>
              <w:t>5</w:t>
            </w:r>
            <w:r w:rsidR="0064120F">
              <w:rPr>
                <w:noProof/>
                <w:webHidden/>
              </w:rPr>
              <w:fldChar w:fldCharType="end"/>
            </w:r>
          </w:hyperlink>
        </w:p>
        <w:p w14:paraId="0F3A6FF4" w14:textId="6E2F4D87" w:rsidR="0064120F" w:rsidRDefault="00DF23AD">
          <w:pPr>
            <w:pStyle w:val="TOC1"/>
            <w:tabs>
              <w:tab w:val="right" w:leader="dot" w:pos="9870"/>
            </w:tabs>
            <w:rPr>
              <w:rFonts w:asciiTheme="minorHAnsi" w:eastAsiaTheme="minorEastAsia" w:hAnsiTheme="minorHAnsi" w:cstheme="minorBidi"/>
              <w:noProof/>
            </w:rPr>
          </w:pPr>
          <w:hyperlink w:anchor="_Toc58850240" w:history="1">
            <w:r w:rsidR="0064120F" w:rsidRPr="00187A0E">
              <w:rPr>
                <w:rStyle w:val="Hyperlink"/>
                <w:noProof/>
              </w:rPr>
              <w:t>PEAK ELECTRIC DEMAND REDUCTION (kW)</w:t>
            </w:r>
            <w:r w:rsidR="0064120F">
              <w:rPr>
                <w:noProof/>
                <w:webHidden/>
              </w:rPr>
              <w:tab/>
            </w:r>
            <w:r w:rsidR="0064120F">
              <w:rPr>
                <w:noProof/>
                <w:webHidden/>
              </w:rPr>
              <w:fldChar w:fldCharType="begin"/>
            </w:r>
            <w:r w:rsidR="0064120F">
              <w:rPr>
                <w:noProof/>
                <w:webHidden/>
              </w:rPr>
              <w:instrText xml:space="preserve"> PAGEREF _Toc58850240 \h </w:instrText>
            </w:r>
            <w:r w:rsidR="0064120F">
              <w:rPr>
                <w:noProof/>
                <w:webHidden/>
              </w:rPr>
            </w:r>
            <w:r w:rsidR="0064120F">
              <w:rPr>
                <w:noProof/>
                <w:webHidden/>
              </w:rPr>
              <w:fldChar w:fldCharType="separate"/>
            </w:r>
            <w:r w:rsidR="0064120F">
              <w:rPr>
                <w:noProof/>
                <w:webHidden/>
              </w:rPr>
              <w:t>7</w:t>
            </w:r>
            <w:r w:rsidR="0064120F">
              <w:rPr>
                <w:noProof/>
                <w:webHidden/>
              </w:rPr>
              <w:fldChar w:fldCharType="end"/>
            </w:r>
          </w:hyperlink>
        </w:p>
        <w:p w14:paraId="4FE58D4D" w14:textId="4A106DFC" w:rsidR="0064120F" w:rsidRDefault="00DF23AD">
          <w:pPr>
            <w:pStyle w:val="TOC1"/>
            <w:tabs>
              <w:tab w:val="right" w:leader="dot" w:pos="9870"/>
            </w:tabs>
            <w:rPr>
              <w:rFonts w:asciiTheme="minorHAnsi" w:eastAsiaTheme="minorEastAsia" w:hAnsiTheme="minorHAnsi" w:cstheme="minorBidi"/>
              <w:noProof/>
            </w:rPr>
          </w:pPr>
          <w:hyperlink w:anchor="_Toc58850241" w:history="1">
            <w:r w:rsidR="0064120F" w:rsidRPr="00187A0E">
              <w:rPr>
                <w:rStyle w:val="Hyperlink"/>
                <w:noProof/>
              </w:rPr>
              <w:t>GAS SAVINGS (THERMS)</w:t>
            </w:r>
            <w:r w:rsidR="0064120F">
              <w:rPr>
                <w:noProof/>
                <w:webHidden/>
              </w:rPr>
              <w:tab/>
            </w:r>
            <w:r w:rsidR="0064120F">
              <w:rPr>
                <w:noProof/>
                <w:webHidden/>
              </w:rPr>
              <w:fldChar w:fldCharType="begin"/>
            </w:r>
            <w:r w:rsidR="0064120F">
              <w:rPr>
                <w:noProof/>
                <w:webHidden/>
              </w:rPr>
              <w:instrText xml:space="preserve"> PAGEREF _Toc58850241 \h </w:instrText>
            </w:r>
            <w:r w:rsidR="0064120F">
              <w:rPr>
                <w:noProof/>
                <w:webHidden/>
              </w:rPr>
            </w:r>
            <w:r w:rsidR="0064120F">
              <w:rPr>
                <w:noProof/>
                <w:webHidden/>
              </w:rPr>
              <w:fldChar w:fldCharType="separate"/>
            </w:r>
            <w:r w:rsidR="0064120F">
              <w:rPr>
                <w:noProof/>
                <w:webHidden/>
              </w:rPr>
              <w:t>7</w:t>
            </w:r>
            <w:r w:rsidR="0064120F">
              <w:rPr>
                <w:noProof/>
                <w:webHidden/>
              </w:rPr>
              <w:fldChar w:fldCharType="end"/>
            </w:r>
          </w:hyperlink>
        </w:p>
        <w:p w14:paraId="346A9C83" w14:textId="0F8B55ED" w:rsidR="0064120F" w:rsidRDefault="00DF23AD">
          <w:pPr>
            <w:pStyle w:val="TOC1"/>
            <w:tabs>
              <w:tab w:val="right" w:leader="dot" w:pos="9870"/>
            </w:tabs>
            <w:rPr>
              <w:rFonts w:asciiTheme="minorHAnsi" w:eastAsiaTheme="minorEastAsia" w:hAnsiTheme="minorHAnsi" w:cstheme="minorBidi"/>
              <w:noProof/>
            </w:rPr>
          </w:pPr>
          <w:hyperlink w:anchor="_Toc58850242" w:history="1">
            <w:r w:rsidR="0064120F" w:rsidRPr="00187A0E">
              <w:rPr>
                <w:rStyle w:val="Hyperlink"/>
                <w:noProof/>
              </w:rPr>
              <w:t>LIFE CYCLE</w:t>
            </w:r>
            <w:r w:rsidR="0064120F">
              <w:rPr>
                <w:noProof/>
                <w:webHidden/>
              </w:rPr>
              <w:tab/>
            </w:r>
            <w:r w:rsidR="0064120F">
              <w:rPr>
                <w:noProof/>
                <w:webHidden/>
              </w:rPr>
              <w:fldChar w:fldCharType="begin"/>
            </w:r>
            <w:r w:rsidR="0064120F">
              <w:rPr>
                <w:noProof/>
                <w:webHidden/>
              </w:rPr>
              <w:instrText xml:space="preserve"> PAGEREF _Toc58850242 \h </w:instrText>
            </w:r>
            <w:r w:rsidR="0064120F">
              <w:rPr>
                <w:noProof/>
                <w:webHidden/>
              </w:rPr>
            </w:r>
            <w:r w:rsidR="0064120F">
              <w:rPr>
                <w:noProof/>
                <w:webHidden/>
              </w:rPr>
              <w:fldChar w:fldCharType="separate"/>
            </w:r>
            <w:r w:rsidR="0064120F">
              <w:rPr>
                <w:noProof/>
                <w:webHidden/>
              </w:rPr>
              <w:t>7</w:t>
            </w:r>
            <w:r w:rsidR="0064120F">
              <w:rPr>
                <w:noProof/>
                <w:webHidden/>
              </w:rPr>
              <w:fldChar w:fldCharType="end"/>
            </w:r>
          </w:hyperlink>
        </w:p>
        <w:p w14:paraId="790329C0" w14:textId="1A0F687C" w:rsidR="0064120F" w:rsidRDefault="00DF23AD">
          <w:pPr>
            <w:pStyle w:val="TOC1"/>
            <w:tabs>
              <w:tab w:val="right" w:leader="dot" w:pos="9870"/>
            </w:tabs>
            <w:rPr>
              <w:rFonts w:asciiTheme="minorHAnsi" w:eastAsiaTheme="minorEastAsia" w:hAnsiTheme="minorHAnsi" w:cstheme="minorBidi"/>
              <w:noProof/>
            </w:rPr>
          </w:pPr>
          <w:hyperlink w:anchor="_Toc58850243" w:history="1">
            <w:r w:rsidR="0064120F" w:rsidRPr="00187A0E">
              <w:rPr>
                <w:rStyle w:val="Hyperlink"/>
                <w:noProof/>
              </w:rPr>
              <w:t>BASE CASE MATERIAL COST ($/UNIT)</w:t>
            </w:r>
            <w:r w:rsidR="0064120F">
              <w:rPr>
                <w:noProof/>
                <w:webHidden/>
              </w:rPr>
              <w:tab/>
            </w:r>
            <w:r w:rsidR="0064120F">
              <w:rPr>
                <w:noProof/>
                <w:webHidden/>
              </w:rPr>
              <w:fldChar w:fldCharType="begin"/>
            </w:r>
            <w:r w:rsidR="0064120F">
              <w:rPr>
                <w:noProof/>
                <w:webHidden/>
              </w:rPr>
              <w:instrText xml:space="preserve"> PAGEREF _Toc58850243 \h </w:instrText>
            </w:r>
            <w:r w:rsidR="0064120F">
              <w:rPr>
                <w:noProof/>
                <w:webHidden/>
              </w:rPr>
            </w:r>
            <w:r w:rsidR="0064120F">
              <w:rPr>
                <w:noProof/>
                <w:webHidden/>
              </w:rPr>
              <w:fldChar w:fldCharType="separate"/>
            </w:r>
            <w:r w:rsidR="0064120F">
              <w:rPr>
                <w:noProof/>
                <w:webHidden/>
              </w:rPr>
              <w:t>8</w:t>
            </w:r>
            <w:r w:rsidR="0064120F">
              <w:rPr>
                <w:noProof/>
                <w:webHidden/>
              </w:rPr>
              <w:fldChar w:fldCharType="end"/>
            </w:r>
          </w:hyperlink>
        </w:p>
        <w:p w14:paraId="096594A1" w14:textId="27E82BD5" w:rsidR="0064120F" w:rsidRDefault="00DF23AD">
          <w:pPr>
            <w:pStyle w:val="TOC1"/>
            <w:tabs>
              <w:tab w:val="right" w:leader="dot" w:pos="9870"/>
            </w:tabs>
            <w:rPr>
              <w:rFonts w:asciiTheme="minorHAnsi" w:eastAsiaTheme="minorEastAsia" w:hAnsiTheme="minorHAnsi" w:cstheme="minorBidi"/>
              <w:noProof/>
            </w:rPr>
          </w:pPr>
          <w:hyperlink w:anchor="_Toc58850244" w:history="1">
            <w:r w:rsidR="0064120F" w:rsidRPr="00187A0E">
              <w:rPr>
                <w:rStyle w:val="Hyperlink"/>
                <w:noProof/>
              </w:rPr>
              <w:t>MEASURE CASE MATERIAL COST ($/UNIT)</w:t>
            </w:r>
            <w:r w:rsidR="0064120F">
              <w:rPr>
                <w:noProof/>
                <w:webHidden/>
              </w:rPr>
              <w:tab/>
            </w:r>
            <w:r w:rsidR="0064120F">
              <w:rPr>
                <w:noProof/>
                <w:webHidden/>
              </w:rPr>
              <w:fldChar w:fldCharType="begin"/>
            </w:r>
            <w:r w:rsidR="0064120F">
              <w:rPr>
                <w:noProof/>
                <w:webHidden/>
              </w:rPr>
              <w:instrText xml:space="preserve"> PAGEREF _Toc58850244 \h </w:instrText>
            </w:r>
            <w:r w:rsidR="0064120F">
              <w:rPr>
                <w:noProof/>
                <w:webHidden/>
              </w:rPr>
            </w:r>
            <w:r w:rsidR="0064120F">
              <w:rPr>
                <w:noProof/>
                <w:webHidden/>
              </w:rPr>
              <w:fldChar w:fldCharType="separate"/>
            </w:r>
            <w:r w:rsidR="0064120F">
              <w:rPr>
                <w:noProof/>
                <w:webHidden/>
              </w:rPr>
              <w:t>8</w:t>
            </w:r>
            <w:r w:rsidR="0064120F">
              <w:rPr>
                <w:noProof/>
                <w:webHidden/>
              </w:rPr>
              <w:fldChar w:fldCharType="end"/>
            </w:r>
          </w:hyperlink>
        </w:p>
        <w:p w14:paraId="19038AEE" w14:textId="1AD16E69" w:rsidR="0064120F" w:rsidRDefault="00DF23AD">
          <w:pPr>
            <w:pStyle w:val="TOC1"/>
            <w:tabs>
              <w:tab w:val="right" w:leader="dot" w:pos="9870"/>
            </w:tabs>
            <w:rPr>
              <w:rFonts w:asciiTheme="minorHAnsi" w:eastAsiaTheme="minorEastAsia" w:hAnsiTheme="minorHAnsi" w:cstheme="minorBidi"/>
              <w:noProof/>
            </w:rPr>
          </w:pPr>
          <w:hyperlink w:anchor="_Toc58850245" w:history="1">
            <w:r w:rsidR="0064120F" w:rsidRPr="00187A0E">
              <w:rPr>
                <w:rStyle w:val="Hyperlink"/>
                <w:noProof/>
              </w:rPr>
              <w:t>BASE CASE LABOR COST ($/UNIT)</w:t>
            </w:r>
            <w:r w:rsidR="0064120F">
              <w:rPr>
                <w:noProof/>
                <w:webHidden/>
              </w:rPr>
              <w:tab/>
            </w:r>
            <w:r w:rsidR="0064120F">
              <w:rPr>
                <w:noProof/>
                <w:webHidden/>
              </w:rPr>
              <w:fldChar w:fldCharType="begin"/>
            </w:r>
            <w:r w:rsidR="0064120F">
              <w:rPr>
                <w:noProof/>
                <w:webHidden/>
              </w:rPr>
              <w:instrText xml:space="preserve"> PAGEREF _Toc58850245 \h </w:instrText>
            </w:r>
            <w:r w:rsidR="0064120F">
              <w:rPr>
                <w:noProof/>
                <w:webHidden/>
              </w:rPr>
            </w:r>
            <w:r w:rsidR="0064120F">
              <w:rPr>
                <w:noProof/>
                <w:webHidden/>
              </w:rPr>
              <w:fldChar w:fldCharType="separate"/>
            </w:r>
            <w:r w:rsidR="0064120F">
              <w:rPr>
                <w:noProof/>
                <w:webHidden/>
              </w:rPr>
              <w:t>9</w:t>
            </w:r>
            <w:r w:rsidR="0064120F">
              <w:rPr>
                <w:noProof/>
                <w:webHidden/>
              </w:rPr>
              <w:fldChar w:fldCharType="end"/>
            </w:r>
          </w:hyperlink>
        </w:p>
        <w:p w14:paraId="37F586E8" w14:textId="086F4C7B" w:rsidR="0064120F" w:rsidRDefault="00DF23AD">
          <w:pPr>
            <w:pStyle w:val="TOC1"/>
            <w:tabs>
              <w:tab w:val="right" w:leader="dot" w:pos="9870"/>
            </w:tabs>
            <w:rPr>
              <w:rFonts w:asciiTheme="minorHAnsi" w:eastAsiaTheme="minorEastAsia" w:hAnsiTheme="minorHAnsi" w:cstheme="minorBidi"/>
              <w:noProof/>
            </w:rPr>
          </w:pPr>
          <w:hyperlink w:anchor="_Toc58850246" w:history="1">
            <w:r w:rsidR="0064120F" w:rsidRPr="00187A0E">
              <w:rPr>
                <w:rStyle w:val="Hyperlink"/>
                <w:noProof/>
              </w:rPr>
              <w:t>MEASURE CASE LABOR COST ($/UNIT)</w:t>
            </w:r>
            <w:r w:rsidR="0064120F">
              <w:rPr>
                <w:noProof/>
                <w:webHidden/>
              </w:rPr>
              <w:tab/>
            </w:r>
            <w:r w:rsidR="0064120F">
              <w:rPr>
                <w:noProof/>
                <w:webHidden/>
              </w:rPr>
              <w:fldChar w:fldCharType="begin"/>
            </w:r>
            <w:r w:rsidR="0064120F">
              <w:rPr>
                <w:noProof/>
                <w:webHidden/>
              </w:rPr>
              <w:instrText xml:space="preserve"> PAGEREF _Toc58850246 \h </w:instrText>
            </w:r>
            <w:r w:rsidR="0064120F">
              <w:rPr>
                <w:noProof/>
                <w:webHidden/>
              </w:rPr>
            </w:r>
            <w:r w:rsidR="0064120F">
              <w:rPr>
                <w:noProof/>
                <w:webHidden/>
              </w:rPr>
              <w:fldChar w:fldCharType="separate"/>
            </w:r>
            <w:r w:rsidR="0064120F">
              <w:rPr>
                <w:noProof/>
                <w:webHidden/>
              </w:rPr>
              <w:t>9</w:t>
            </w:r>
            <w:r w:rsidR="0064120F">
              <w:rPr>
                <w:noProof/>
                <w:webHidden/>
              </w:rPr>
              <w:fldChar w:fldCharType="end"/>
            </w:r>
          </w:hyperlink>
        </w:p>
        <w:p w14:paraId="61453FD5" w14:textId="73210DD0" w:rsidR="0064120F" w:rsidRDefault="00DF23AD">
          <w:pPr>
            <w:pStyle w:val="TOC1"/>
            <w:tabs>
              <w:tab w:val="right" w:leader="dot" w:pos="9870"/>
            </w:tabs>
            <w:rPr>
              <w:rFonts w:asciiTheme="minorHAnsi" w:eastAsiaTheme="minorEastAsia" w:hAnsiTheme="minorHAnsi" w:cstheme="minorBidi"/>
              <w:noProof/>
            </w:rPr>
          </w:pPr>
          <w:hyperlink w:anchor="_Toc58850247" w:history="1">
            <w:r w:rsidR="0064120F" w:rsidRPr="00187A0E">
              <w:rPr>
                <w:rStyle w:val="Hyperlink"/>
                <w:noProof/>
              </w:rPr>
              <w:t>NET-TO-GROSS</w:t>
            </w:r>
            <w:r w:rsidR="0064120F">
              <w:rPr>
                <w:noProof/>
                <w:webHidden/>
              </w:rPr>
              <w:tab/>
            </w:r>
            <w:r w:rsidR="0064120F">
              <w:rPr>
                <w:noProof/>
                <w:webHidden/>
              </w:rPr>
              <w:fldChar w:fldCharType="begin"/>
            </w:r>
            <w:r w:rsidR="0064120F">
              <w:rPr>
                <w:noProof/>
                <w:webHidden/>
              </w:rPr>
              <w:instrText xml:space="preserve"> PAGEREF _Toc58850247 \h </w:instrText>
            </w:r>
            <w:r w:rsidR="0064120F">
              <w:rPr>
                <w:noProof/>
                <w:webHidden/>
              </w:rPr>
            </w:r>
            <w:r w:rsidR="0064120F">
              <w:rPr>
                <w:noProof/>
                <w:webHidden/>
              </w:rPr>
              <w:fldChar w:fldCharType="separate"/>
            </w:r>
            <w:r w:rsidR="0064120F">
              <w:rPr>
                <w:noProof/>
                <w:webHidden/>
              </w:rPr>
              <w:t>9</w:t>
            </w:r>
            <w:r w:rsidR="0064120F">
              <w:rPr>
                <w:noProof/>
                <w:webHidden/>
              </w:rPr>
              <w:fldChar w:fldCharType="end"/>
            </w:r>
          </w:hyperlink>
        </w:p>
        <w:p w14:paraId="38AEA825" w14:textId="187B67D2" w:rsidR="0064120F" w:rsidRDefault="00DF23AD">
          <w:pPr>
            <w:pStyle w:val="TOC1"/>
            <w:tabs>
              <w:tab w:val="right" w:leader="dot" w:pos="9870"/>
            </w:tabs>
            <w:rPr>
              <w:rFonts w:asciiTheme="minorHAnsi" w:eastAsiaTheme="minorEastAsia" w:hAnsiTheme="minorHAnsi" w:cstheme="minorBidi"/>
              <w:noProof/>
            </w:rPr>
          </w:pPr>
          <w:hyperlink w:anchor="_Toc58850248" w:history="1">
            <w:r w:rsidR="0064120F" w:rsidRPr="00187A0E">
              <w:rPr>
                <w:rStyle w:val="Hyperlink"/>
                <w:noProof/>
              </w:rPr>
              <w:t>GSIA</w:t>
            </w:r>
            <w:r w:rsidR="0064120F">
              <w:rPr>
                <w:noProof/>
                <w:webHidden/>
              </w:rPr>
              <w:tab/>
            </w:r>
            <w:r w:rsidR="0064120F">
              <w:rPr>
                <w:noProof/>
                <w:webHidden/>
              </w:rPr>
              <w:fldChar w:fldCharType="begin"/>
            </w:r>
            <w:r w:rsidR="0064120F">
              <w:rPr>
                <w:noProof/>
                <w:webHidden/>
              </w:rPr>
              <w:instrText xml:space="preserve"> PAGEREF _Toc58850248 \h </w:instrText>
            </w:r>
            <w:r w:rsidR="0064120F">
              <w:rPr>
                <w:noProof/>
                <w:webHidden/>
              </w:rPr>
            </w:r>
            <w:r w:rsidR="0064120F">
              <w:rPr>
                <w:noProof/>
                <w:webHidden/>
              </w:rPr>
              <w:fldChar w:fldCharType="separate"/>
            </w:r>
            <w:r w:rsidR="0064120F">
              <w:rPr>
                <w:noProof/>
                <w:webHidden/>
              </w:rPr>
              <w:t>9</w:t>
            </w:r>
            <w:r w:rsidR="0064120F">
              <w:rPr>
                <w:noProof/>
                <w:webHidden/>
              </w:rPr>
              <w:fldChar w:fldCharType="end"/>
            </w:r>
          </w:hyperlink>
        </w:p>
        <w:p w14:paraId="1F755E26" w14:textId="0BC3B79C" w:rsidR="0064120F" w:rsidRDefault="00DF23AD">
          <w:pPr>
            <w:pStyle w:val="TOC1"/>
            <w:tabs>
              <w:tab w:val="right" w:leader="dot" w:pos="9870"/>
            </w:tabs>
            <w:rPr>
              <w:rFonts w:asciiTheme="minorHAnsi" w:eastAsiaTheme="minorEastAsia" w:hAnsiTheme="minorHAnsi" w:cstheme="minorBidi"/>
              <w:noProof/>
            </w:rPr>
          </w:pPr>
          <w:hyperlink w:anchor="_Toc58850249" w:history="1">
            <w:r w:rsidR="0064120F" w:rsidRPr="00187A0E">
              <w:rPr>
                <w:rStyle w:val="Hyperlink"/>
                <w:noProof/>
              </w:rPr>
              <w:t>NON-ENERGY IMPACTS</w:t>
            </w:r>
            <w:r w:rsidR="0064120F">
              <w:rPr>
                <w:noProof/>
                <w:webHidden/>
              </w:rPr>
              <w:tab/>
            </w:r>
            <w:r w:rsidR="0064120F">
              <w:rPr>
                <w:noProof/>
                <w:webHidden/>
              </w:rPr>
              <w:fldChar w:fldCharType="begin"/>
            </w:r>
            <w:r w:rsidR="0064120F">
              <w:rPr>
                <w:noProof/>
                <w:webHidden/>
              </w:rPr>
              <w:instrText xml:space="preserve"> PAGEREF _Toc58850249 \h </w:instrText>
            </w:r>
            <w:r w:rsidR="0064120F">
              <w:rPr>
                <w:noProof/>
                <w:webHidden/>
              </w:rPr>
            </w:r>
            <w:r w:rsidR="0064120F">
              <w:rPr>
                <w:noProof/>
                <w:webHidden/>
              </w:rPr>
              <w:fldChar w:fldCharType="separate"/>
            </w:r>
            <w:r w:rsidR="0064120F">
              <w:rPr>
                <w:noProof/>
                <w:webHidden/>
              </w:rPr>
              <w:t>10</w:t>
            </w:r>
            <w:r w:rsidR="0064120F">
              <w:rPr>
                <w:noProof/>
                <w:webHidden/>
              </w:rPr>
              <w:fldChar w:fldCharType="end"/>
            </w:r>
          </w:hyperlink>
        </w:p>
        <w:p w14:paraId="74A98EF3" w14:textId="52DACBAE" w:rsidR="0064120F" w:rsidRDefault="00DF23AD">
          <w:pPr>
            <w:pStyle w:val="TOC1"/>
            <w:tabs>
              <w:tab w:val="right" w:leader="dot" w:pos="9870"/>
            </w:tabs>
            <w:rPr>
              <w:rFonts w:asciiTheme="minorHAnsi" w:eastAsiaTheme="minorEastAsia" w:hAnsiTheme="minorHAnsi" w:cstheme="minorBidi"/>
              <w:noProof/>
            </w:rPr>
          </w:pPr>
          <w:hyperlink w:anchor="_Toc58850250" w:history="1">
            <w:r w:rsidR="0064120F" w:rsidRPr="00187A0E">
              <w:rPr>
                <w:rStyle w:val="Hyperlink"/>
                <w:noProof/>
              </w:rPr>
              <w:t>DEER DIFFERENCES ANALYSIS</w:t>
            </w:r>
            <w:r w:rsidR="0064120F">
              <w:rPr>
                <w:noProof/>
                <w:webHidden/>
              </w:rPr>
              <w:tab/>
            </w:r>
            <w:r w:rsidR="0064120F">
              <w:rPr>
                <w:noProof/>
                <w:webHidden/>
              </w:rPr>
              <w:fldChar w:fldCharType="begin"/>
            </w:r>
            <w:r w:rsidR="0064120F">
              <w:rPr>
                <w:noProof/>
                <w:webHidden/>
              </w:rPr>
              <w:instrText xml:space="preserve"> PAGEREF _Toc58850250 \h </w:instrText>
            </w:r>
            <w:r w:rsidR="0064120F">
              <w:rPr>
                <w:noProof/>
                <w:webHidden/>
              </w:rPr>
            </w:r>
            <w:r w:rsidR="0064120F">
              <w:rPr>
                <w:noProof/>
                <w:webHidden/>
              </w:rPr>
              <w:fldChar w:fldCharType="separate"/>
            </w:r>
            <w:r w:rsidR="0064120F">
              <w:rPr>
                <w:noProof/>
                <w:webHidden/>
              </w:rPr>
              <w:t>10</w:t>
            </w:r>
            <w:r w:rsidR="0064120F">
              <w:rPr>
                <w:noProof/>
                <w:webHidden/>
              </w:rPr>
              <w:fldChar w:fldCharType="end"/>
            </w:r>
          </w:hyperlink>
        </w:p>
        <w:p w14:paraId="27DDF47E" w14:textId="5A131083" w:rsidR="0064120F" w:rsidRDefault="00DF23AD">
          <w:pPr>
            <w:pStyle w:val="TOC1"/>
            <w:tabs>
              <w:tab w:val="right" w:leader="dot" w:pos="9870"/>
            </w:tabs>
            <w:rPr>
              <w:rFonts w:asciiTheme="minorHAnsi" w:eastAsiaTheme="minorEastAsia" w:hAnsiTheme="minorHAnsi" w:cstheme="minorBidi"/>
              <w:noProof/>
            </w:rPr>
          </w:pPr>
          <w:hyperlink w:anchor="_Toc58850251" w:history="1">
            <w:r w:rsidR="0064120F" w:rsidRPr="00187A0E">
              <w:rPr>
                <w:rStyle w:val="Hyperlink"/>
                <w:noProof/>
              </w:rPr>
              <w:t>REVISION HISTORY</w:t>
            </w:r>
            <w:r w:rsidR="0064120F">
              <w:rPr>
                <w:noProof/>
                <w:webHidden/>
              </w:rPr>
              <w:tab/>
            </w:r>
            <w:r w:rsidR="0064120F">
              <w:rPr>
                <w:noProof/>
                <w:webHidden/>
              </w:rPr>
              <w:fldChar w:fldCharType="begin"/>
            </w:r>
            <w:r w:rsidR="0064120F">
              <w:rPr>
                <w:noProof/>
                <w:webHidden/>
              </w:rPr>
              <w:instrText xml:space="preserve"> PAGEREF _Toc58850251 \h </w:instrText>
            </w:r>
            <w:r w:rsidR="0064120F">
              <w:rPr>
                <w:noProof/>
                <w:webHidden/>
              </w:rPr>
            </w:r>
            <w:r w:rsidR="0064120F">
              <w:rPr>
                <w:noProof/>
                <w:webHidden/>
              </w:rPr>
              <w:fldChar w:fldCharType="separate"/>
            </w:r>
            <w:r w:rsidR="0064120F">
              <w:rPr>
                <w:noProof/>
                <w:webHidden/>
              </w:rPr>
              <w:t>10</w:t>
            </w:r>
            <w:r w:rsidR="0064120F">
              <w:rPr>
                <w:noProof/>
                <w:webHidden/>
              </w:rPr>
              <w:fldChar w:fldCharType="end"/>
            </w:r>
          </w:hyperlink>
        </w:p>
        <w:p w14:paraId="4D3AC928" w14:textId="08F95520" w:rsidR="00BB4AD7" w:rsidRDefault="002D015B">
          <w:r>
            <w:fldChar w:fldCharType="end"/>
          </w:r>
        </w:p>
      </w:sdtContent>
    </w:sdt>
    <w:p w14:paraId="20235A57" w14:textId="77777777" w:rsidR="00BB4AD7" w:rsidRDefault="00BB4AD7">
      <w:pPr>
        <w:sectPr w:rsidR="00BB4AD7">
          <w:footerReference w:type="default" r:id="rId8"/>
          <w:type w:val="continuous"/>
          <w:pgSz w:w="12240" w:h="15840"/>
          <w:pgMar w:top="1220" w:right="1040" w:bottom="1320" w:left="1320" w:header="720" w:footer="1129" w:gutter="0"/>
          <w:pgNumType w:start="1"/>
          <w:cols w:space="720"/>
        </w:sectPr>
      </w:pPr>
    </w:p>
    <w:p w14:paraId="074D6D96" w14:textId="77777777" w:rsidR="00BB4AD7" w:rsidRDefault="00BB4AD7">
      <w:pPr>
        <w:pStyle w:val="BodyText"/>
        <w:spacing w:before="3"/>
        <w:rPr>
          <w:sz w:val="24"/>
        </w:rPr>
      </w:pPr>
    </w:p>
    <w:p w14:paraId="4071CCE3" w14:textId="77777777" w:rsidR="00BB4AD7" w:rsidRDefault="002D015B">
      <w:pPr>
        <w:pStyle w:val="Heading1"/>
      </w:pPr>
      <w:bookmarkStart w:id="0" w:name="_Toc58850228"/>
      <w:r>
        <w:rPr>
          <w:color w:val="CFAB79"/>
        </w:rPr>
        <w:t>MEASURE</w:t>
      </w:r>
      <w:r>
        <w:rPr>
          <w:color w:val="CFAB79"/>
          <w:spacing w:val="27"/>
        </w:rPr>
        <w:t xml:space="preserve"> </w:t>
      </w:r>
      <w:r>
        <w:rPr>
          <w:color w:val="CFAB79"/>
        </w:rPr>
        <w:t>NAME</w:t>
      </w:r>
      <w:bookmarkEnd w:id="0"/>
    </w:p>
    <w:p w14:paraId="68CDFF8C" w14:textId="726EEE73" w:rsidR="00BB4AD7" w:rsidRDefault="002D015B">
      <w:pPr>
        <w:pStyle w:val="BodyText"/>
        <w:spacing w:before="26"/>
        <w:ind w:left="120"/>
      </w:pPr>
      <w:r>
        <w:t xml:space="preserve">VFD on </w:t>
      </w:r>
      <w:r w:rsidR="00D865CB">
        <w:t>Ag</w:t>
      </w:r>
      <w:r>
        <w:rPr>
          <w:spacing w:val="-5"/>
        </w:rPr>
        <w:t xml:space="preserve"> </w:t>
      </w:r>
      <w:r>
        <w:t>Pump</w:t>
      </w:r>
    </w:p>
    <w:p w14:paraId="41D18AF5" w14:textId="77777777" w:rsidR="00BB4AD7" w:rsidRDefault="00BB4AD7">
      <w:pPr>
        <w:pStyle w:val="BodyText"/>
        <w:spacing w:before="8"/>
        <w:rPr>
          <w:sz w:val="25"/>
        </w:rPr>
      </w:pPr>
    </w:p>
    <w:p w14:paraId="1ECC9E77" w14:textId="77777777" w:rsidR="00BB4AD7" w:rsidRDefault="002D015B">
      <w:pPr>
        <w:pStyle w:val="Heading1"/>
      </w:pPr>
      <w:bookmarkStart w:id="1" w:name="_Toc58850229"/>
      <w:r>
        <w:rPr>
          <w:color w:val="CFAB79"/>
        </w:rPr>
        <w:t>STATEWIDE MEASURE ID</w:t>
      </w:r>
      <w:bookmarkEnd w:id="1"/>
    </w:p>
    <w:p w14:paraId="2AE7FD52" w14:textId="77777777" w:rsidR="00BB4AD7" w:rsidRDefault="002D015B">
      <w:pPr>
        <w:pStyle w:val="BodyText"/>
        <w:spacing w:before="110"/>
        <w:ind w:left="120"/>
      </w:pPr>
      <w:r>
        <w:t>SWWP002-0</w:t>
      </w:r>
      <w:r w:rsidR="00F01B55">
        <w:t>2</w:t>
      </w:r>
    </w:p>
    <w:p w14:paraId="20EDEE36" w14:textId="77777777" w:rsidR="00BB4AD7" w:rsidRDefault="00BB4AD7">
      <w:pPr>
        <w:pStyle w:val="BodyText"/>
      </w:pPr>
    </w:p>
    <w:p w14:paraId="62D842AA" w14:textId="77777777" w:rsidR="00BB4AD7" w:rsidRDefault="00BB4AD7">
      <w:pPr>
        <w:pStyle w:val="BodyText"/>
        <w:spacing w:before="8"/>
        <w:rPr>
          <w:sz w:val="21"/>
        </w:rPr>
      </w:pPr>
    </w:p>
    <w:p w14:paraId="1D8264AD" w14:textId="77777777" w:rsidR="00BB4AD7" w:rsidRDefault="002D015B">
      <w:pPr>
        <w:pStyle w:val="Heading1"/>
      </w:pPr>
      <w:bookmarkStart w:id="2" w:name="_Toc58850230"/>
      <w:r>
        <w:rPr>
          <w:color w:val="CFAB79"/>
        </w:rPr>
        <w:t>TECHNOLOGY SUMMARY</w:t>
      </w:r>
      <w:bookmarkEnd w:id="2"/>
    </w:p>
    <w:p w14:paraId="2E5D106C" w14:textId="77777777" w:rsidR="00BB4AD7" w:rsidRDefault="002D015B" w:rsidP="00945914">
      <w:pPr>
        <w:pStyle w:val="BodyText"/>
        <w:spacing w:before="113"/>
        <w:ind w:left="120" w:right="581"/>
      </w:pPr>
      <w:r>
        <w:t xml:space="preserve">The most common pumps used in agricultural irrigation systems are </w:t>
      </w:r>
      <w:r>
        <w:rPr>
          <w:i/>
        </w:rPr>
        <w:t xml:space="preserve">well pumps </w:t>
      </w:r>
      <w:r>
        <w:t>(</w:t>
      </w:r>
      <w:r w:rsidR="00945914">
        <w:t xml:space="preserve">usually </w:t>
      </w:r>
      <w:r>
        <w:t xml:space="preserve">either vertical turbine or submersible) and </w:t>
      </w:r>
      <w:r>
        <w:rPr>
          <w:i/>
        </w:rPr>
        <w:t xml:space="preserve">booster pumps </w:t>
      </w:r>
      <w:r>
        <w:t>(</w:t>
      </w:r>
      <w:r w:rsidR="00945914">
        <w:t xml:space="preserve">often </w:t>
      </w:r>
      <w:r>
        <w:t>vertical turbine, with some inline centrifugal).</w:t>
      </w:r>
      <w:r w:rsidR="00945914">
        <w:t xml:space="preserve"> </w:t>
      </w:r>
      <w:r>
        <w:t xml:space="preserve">Turbine pumps are commonly installed in wells and used to pump groundwater for irrigation either directly or just pumping well water to the ground level. Booster pumps are </w:t>
      </w:r>
      <w:r w:rsidR="00945914">
        <w:t xml:space="preserve">ordinarily </w:t>
      </w:r>
      <w:r>
        <w:t>used to pressurize water for irrigation systems.</w:t>
      </w:r>
    </w:p>
    <w:p w14:paraId="434BD554" w14:textId="77777777" w:rsidR="00BB4AD7" w:rsidRDefault="002D015B">
      <w:pPr>
        <w:pStyle w:val="BodyText"/>
        <w:spacing w:before="121"/>
        <w:ind w:left="120" w:right="432"/>
      </w:pPr>
      <w:r>
        <w:t>Variations and uncertainties in irrigation systems lead designers to over-design irrigation pumps since it is favorable to have too much pressure rather than too little pressure. Variations and/or uncertainties include (but are not limited to):</w:t>
      </w:r>
    </w:p>
    <w:p w14:paraId="4F43C60A" w14:textId="77777777" w:rsidR="00BB4AD7" w:rsidRDefault="002D015B">
      <w:pPr>
        <w:pStyle w:val="ListParagraph"/>
        <w:numPr>
          <w:ilvl w:val="0"/>
          <w:numId w:val="3"/>
        </w:numPr>
        <w:tabs>
          <w:tab w:val="left" w:pos="840"/>
          <w:tab w:val="left" w:pos="841"/>
        </w:tabs>
        <w:spacing w:before="121"/>
        <w:ind w:right="600"/>
      </w:pPr>
      <w:r>
        <w:t>For drip/micro-irrigation systems, designers always include a safety factor of at least five-pound force per square inch</w:t>
      </w:r>
      <w:r>
        <w:rPr>
          <w:spacing w:val="-4"/>
        </w:rPr>
        <w:t xml:space="preserve"> </w:t>
      </w:r>
      <w:r>
        <w:t>(psi).</w:t>
      </w:r>
    </w:p>
    <w:p w14:paraId="76115541" w14:textId="77777777" w:rsidR="00BB4AD7" w:rsidRDefault="002D015B">
      <w:pPr>
        <w:pStyle w:val="ListParagraph"/>
        <w:numPr>
          <w:ilvl w:val="0"/>
          <w:numId w:val="3"/>
        </w:numPr>
        <w:tabs>
          <w:tab w:val="left" w:pos="840"/>
          <w:tab w:val="left" w:pos="841"/>
        </w:tabs>
        <w:spacing w:before="20"/>
        <w:ind w:hanging="361"/>
      </w:pPr>
      <w:r>
        <w:t>The pressure from irrigation pipelines turnouts vary over</w:t>
      </w:r>
      <w:r>
        <w:rPr>
          <w:spacing w:val="-8"/>
        </w:rPr>
        <w:t xml:space="preserve"> </w:t>
      </w:r>
      <w:r>
        <w:t>time.</w:t>
      </w:r>
    </w:p>
    <w:p w14:paraId="1200A6D6" w14:textId="77777777" w:rsidR="00BB4AD7" w:rsidRDefault="002D015B">
      <w:pPr>
        <w:pStyle w:val="ListParagraph"/>
        <w:numPr>
          <w:ilvl w:val="0"/>
          <w:numId w:val="3"/>
        </w:numPr>
        <w:tabs>
          <w:tab w:val="left" w:pos="840"/>
          <w:tab w:val="left" w:pos="841"/>
        </w:tabs>
        <w:ind w:hanging="361"/>
      </w:pPr>
      <w:r>
        <w:t>Well water levels vary year to year, and seasonally from spring to</w:t>
      </w:r>
      <w:r>
        <w:rPr>
          <w:spacing w:val="-9"/>
        </w:rPr>
        <w:t xml:space="preserve"> </w:t>
      </w:r>
      <w:r>
        <w:t>fall.</w:t>
      </w:r>
    </w:p>
    <w:p w14:paraId="3E0D1BE9" w14:textId="77777777" w:rsidR="00BB4AD7" w:rsidRDefault="002D015B">
      <w:pPr>
        <w:pStyle w:val="ListParagraph"/>
        <w:numPr>
          <w:ilvl w:val="0"/>
          <w:numId w:val="3"/>
        </w:numPr>
        <w:tabs>
          <w:tab w:val="left" w:pos="840"/>
          <w:tab w:val="left" w:pos="841"/>
        </w:tabs>
        <w:spacing w:before="20"/>
        <w:ind w:hanging="361"/>
      </w:pPr>
      <w:r>
        <w:t>Pumps may serve more than one type of irrigation system (i.e. drip and</w:t>
      </w:r>
      <w:r>
        <w:rPr>
          <w:spacing w:val="-11"/>
        </w:rPr>
        <w:t xml:space="preserve"> </w:t>
      </w:r>
      <w:r>
        <w:t>sprinkler).</w:t>
      </w:r>
    </w:p>
    <w:p w14:paraId="17F48E04" w14:textId="77777777" w:rsidR="00BB4AD7" w:rsidRDefault="002D015B">
      <w:pPr>
        <w:pStyle w:val="ListParagraph"/>
        <w:numPr>
          <w:ilvl w:val="0"/>
          <w:numId w:val="3"/>
        </w:numPr>
        <w:tabs>
          <w:tab w:val="left" w:pos="840"/>
          <w:tab w:val="left" w:pos="841"/>
        </w:tabs>
        <w:spacing w:before="22"/>
        <w:ind w:hanging="361"/>
      </w:pPr>
      <w:r>
        <w:t>Pumps may serve multiple fields at different elevations and/or</w:t>
      </w:r>
      <w:r>
        <w:rPr>
          <w:spacing w:val="-11"/>
        </w:rPr>
        <w:t xml:space="preserve"> </w:t>
      </w:r>
      <w:r>
        <w:t>acreage.</w:t>
      </w:r>
    </w:p>
    <w:p w14:paraId="1BF8F729" w14:textId="77777777" w:rsidR="00BB4AD7" w:rsidRDefault="002D015B">
      <w:pPr>
        <w:pStyle w:val="BodyText"/>
        <w:spacing w:before="117"/>
        <w:ind w:left="120" w:right="495"/>
      </w:pPr>
      <w:r>
        <w:t>Operating the pumps at low capacities can overheat the water caused by friction between the water and impeller, which can damage the pump. Additionally, operating at capacities less than 30% of the design capacity will significantly reduce the pump efficiency and can increase the radial load on the impeller, which will cause early failure of the bearings. In contrast, operating the pump at near 100% of design capacity will require more energy than prior to VFD installation.</w:t>
      </w:r>
    </w:p>
    <w:p w14:paraId="392EB337" w14:textId="77777777" w:rsidR="00BB4AD7" w:rsidRDefault="002D015B">
      <w:pPr>
        <w:pStyle w:val="BodyText"/>
        <w:spacing w:before="122"/>
        <w:ind w:left="120" w:right="412"/>
      </w:pPr>
      <w:r>
        <w:t>A conservative estimate by experts is that designers over-design by at least 10%.</w:t>
      </w:r>
      <w:r>
        <w:rPr>
          <w:vertAlign w:val="superscript"/>
        </w:rPr>
        <w:t>1</w:t>
      </w:r>
      <w:r>
        <w:t xml:space="preserve"> A variable frequency drive (VFD) on an agricultural well pump controls the motor speed of a pump so that the pump operates more efficiently. VFDs for agricultural irrigation pumps have the potential for significant energy savings by adjusting the pump speed to produce the desired flow and/or pressure for the irrigation system.</w:t>
      </w:r>
    </w:p>
    <w:p w14:paraId="4F9E1E38" w14:textId="77777777" w:rsidR="00BB4AD7" w:rsidRDefault="00BB4AD7">
      <w:pPr>
        <w:pStyle w:val="BodyText"/>
      </w:pPr>
    </w:p>
    <w:p w14:paraId="7FFA30FE" w14:textId="77777777" w:rsidR="00BB4AD7" w:rsidRDefault="00BB4AD7">
      <w:pPr>
        <w:pStyle w:val="BodyText"/>
        <w:spacing w:before="7"/>
        <w:rPr>
          <w:sz w:val="20"/>
        </w:rPr>
      </w:pPr>
    </w:p>
    <w:p w14:paraId="3C367AA2" w14:textId="77777777" w:rsidR="00BB4AD7" w:rsidRDefault="002D015B">
      <w:pPr>
        <w:pStyle w:val="Heading1"/>
      </w:pPr>
      <w:bookmarkStart w:id="3" w:name="_Toc58850231"/>
      <w:r>
        <w:rPr>
          <w:color w:val="CFAB79"/>
        </w:rPr>
        <w:t>MEASURE CASE DESCRIPTION</w:t>
      </w:r>
      <w:bookmarkEnd w:id="3"/>
    </w:p>
    <w:p w14:paraId="110B6428" w14:textId="77777777" w:rsidR="00BB4AD7" w:rsidRDefault="002D015B">
      <w:pPr>
        <w:pStyle w:val="BodyText"/>
        <w:spacing w:before="115"/>
        <w:ind w:left="120" w:right="897"/>
      </w:pPr>
      <w:r>
        <w:t xml:space="preserve">The measure case is defined as a pump for which a variable frequency drive (VFD) will adjust the flow/pressure to meet facility irrigation needs. </w:t>
      </w:r>
      <w:r>
        <w:rPr>
          <w:color w:val="181818"/>
        </w:rPr>
        <w:t>The measure offerings are defined by pump type and horsepower rating, as indicated below:</w:t>
      </w:r>
    </w:p>
    <w:p w14:paraId="7D0E1B0F" w14:textId="77777777" w:rsidR="00BB4AD7" w:rsidRDefault="00BB4AD7">
      <w:pPr>
        <w:pStyle w:val="BodyText"/>
        <w:rPr>
          <w:sz w:val="20"/>
        </w:rPr>
      </w:pPr>
    </w:p>
    <w:p w14:paraId="2131080F" w14:textId="77777777" w:rsidR="00BB4AD7" w:rsidRDefault="00DF23AD">
      <w:pPr>
        <w:pStyle w:val="BodyText"/>
        <w:spacing w:before="11"/>
        <w:rPr>
          <w:sz w:val="25"/>
        </w:rPr>
      </w:pPr>
      <w:r>
        <w:pict w14:anchorId="710EF9CB">
          <v:rect id="_x0000_s1031" style="position:absolute;margin-left:1in;margin-top:17.8pt;width:2in;height:.7pt;z-index:-15728128;mso-wrap-distance-left:0;mso-wrap-distance-right:0;mso-position-horizontal-relative:page" fillcolor="black" stroked="f">
            <w10:wrap type="topAndBottom" anchorx="page"/>
          </v:rect>
        </w:pict>
      </w:r>
    </w:p>
    <w:p w14:paraId="0344D510" w14:textId="77777777" w:rsidR="00BB4AD7" w:rsidRDefault="00BB4AD7">
      <w:pPr>
        <w:pStyle w:val="BodyText"/>
        <w:rPr>
          <w:sz w:val="20"/>
        </w:rPr>
      </w:pPr>
    </w:p>
    <w:p w14:paraId="02AE7D84" w14:textId="77777777" w:rsidR="00BB4AD7" w:rsidRDefault="00BB4AD7">
      <w:pPr>
        <w:pStyle w:val="BodyText"/>
        <w:rPr>
          <w:sz w:val="20"/>
        </w:rPr>
      </w:pPr>
    </w:p>
    <w:p w14:paraId="7B11D4FE" w14:textId="77777777" w:rsidR="00BB4AD7" w:rsidRDefault="00BB4AD7">
      <w:pPr>
        <w:pStyle w:val="BodyText"/>
        <w:spacing w:before="3"/>
        <w:rPr>
          <w:sz w:val="17"/>
        </w:rPr>
      </w:pPr>
    </w:p>
    <w:p w14:paraId="76251345" w14:textId="77777777" w:rsidR="00BB4AD7" w:rsidRDefault="002D015B">
      <w:pPr>
        <w:ind w:left="120" w:right="597"/>
        <w:rPr>
          <w:sz w:val="18"/>
        </w:rPr>
      </w:pPr>
      <w:r>
        <w:rPr>
          <w:position w:val="5"/>
          <w:sz w:val="12"/>
        </w:rPr>
        <w:t xml:space="preserve">1 </w:t>
      </w:r>
      <w:r>
        <w:rPr>
          <w:sz w:val="18"/>
        </w:rPr>
        <w:t xml:space="preserve">Burt, C. 2011. </w:t>
      </w:r>
      <w:r>
        <w:rPr>
          <w:i/>
          <w:sz w:val="18"/>
        </w:rPr>
        <w:t>Variable Frequency Drive (VFD) Controlled Irrigation Pumps – Analysis of Potential Rebate</w:t>
      </w:r>
      <w:r>
        <w:rPr>
          <w:sz w:val="18"/>
        </w:rPr>
        <w:t>. San Luis Obispo (CA): Irrigation Training and Research Center, California Polytechnic State University. ITRC Report No. R 11-005.</w:t>
      </w:r>
    </w:p>
    <w:p w14:paraId="2B7FB262" w14:textId="77777777" w:rsidR="00BB4AD7" w:rsidRDefault="00BB4AD7">
      <w:pPr>
        <w:rPr>
          <w:sz w:val="18"/>
        </w:rPr>
        <w:sectPr w:rsidR="00BB4AD7">
          <w:headerReference w:type="default" r:id="rId9"/>
          <w:footerReference w:type="default" r:id="rId10"/>
          <w:pgSz w:w="12240" w:h="15840"/>
          <w:pgMar w:top="1220" w:right="1040" w:bottom="1320" w:left="1320" w:header="858" w:footer="1129" w:gutter="0"/>
          <w:cols w:space="720"/>
        </w:sectPr>
      </w:pPr>
    </w:p>
    <w:p w14:paraId="5CEB358A" w14:textId="77777777" w:rsidR="00BB4AD7" w:rsidRDefault="00BB4AD7">
      <w:pPr>
        <w:pStyle w:val="BodyText"/>
        <w:spacing w:before="10"/>
        <w:rPr>
          <w:sz w:val="19"/>
        </w:rPr>
      </w:pPr>
    </w:p>
    <w:p w14:paraId="4671C41A" w14:textId="77777777" w:rsidR="00BB4AD7" w:rsidRDefault="002D015B">
      <w:pPr>
        <w:pStyle w:val="ListParagraph"/>
        <w:numPr>
          <w:ilvl w:val="0"/>
          <w:numId w:val="2"/>
        </w:numPr>
        <w:tabs>
          <w:tab w:val="left" w:pos="841"/>
        </w:tabs>
        <w:spacing w:before="56"/>
        <w:ind w:right="511"/>
      </w:pPr>
      <w:r>
        <w:t>Installation</w:t>
      </w:r>
      <w:r>
        <w:rPr>
          <w:spacing w:val="-2"/>
        </w:rPr>
        <w:t xml:space="preserve"> </w:t>
      </w:r>
      <w:r>
        <w:t>of</w:t>
      </w:r>
      <w:r>
        <w:rPr>
          <w:spacing w:val="1"/>
        </w:rPr>
        <w:t xml:space="preserve"> </w:t>
      </w:r>
      <w:r>
        <w:t>a</w:t>
      </w:r>
      <w:r>
        <w:rPr>
          <w:spacing w:val="-5"/>
        </w:rPr>
        <w:t xml:space="preserve"> </w:t>
      </w:r>
      <w:r>
        <w:t>VFD</w:t>
      </w:r>
      <w:r>
        <w:rPr>
          <w:spacing w:val="-2"/>
        </w:rPr>
        <w:t xml:space="preserve"> </w:t>
      </w:r>
      <w:r>
        <w:t>on</w:t>
      </w:r>
      <w:r>
        <w:rPr>
          <w:spacing w:val="-1"/>
        </w:rPr>
        <w:t xml:space="preserve"> </w:t>
      </w:r>
      <w:r>
        <w:t>agriculture</w:t>
      </w:r>
      <w:r>
        <w:rPr>
          <w:spacing w:val="-3"/>
        </w:rPr>
        <w:t xml:space="preserve"> </w:t>
      </w:r>
      <w:r>
        <w:t>well</w:t>
      </w:r>
      <w:r>
        <w:rPr>
          <w:spacing w:val="-1"/>
        </w:rPr>
        <w:t xml:space="preserve"> </w:t>
      </w:r>
      <w:r>
        <w:t>pumps</w:t>
      </w:r>
      <w:r>
        <w:rPr>
          <w:spacing w:val="-2"/>
        </w:rPr>
        <w:t xml:space="preserve"> </w:t>
      </w:r>
      <w:r>
        <w:t>(≤</w:t>
      </w:r>
      <w:r>
        <w:rPr>
          <w:spacing w:val="-1"/>
        </w:rPr>
        <w:t xml:space="preserve"> </w:t>
      </w:r>
      <w:r>
        <w:t>300</w:t>
      </w:r>
      <w:r>
        <w:rPr>
          <w:spacing w:val="-5"/>
        </w:rPr>
        <w:t xml:space="preserve"> </w:t>
      </w:r>
      <w:r>
        <w:t>hp)</w:t>
      </w:r>
      <w:r>
        <w:rPr>
          <w:spacing w:val="-3"/>
        </w:rPr>
        <w:t xml:space="preserve"> </w:t>
      </w:r>
      <w:r>
        <w:t>used</w:t>
      </w:r>
      <w:r>
        <w:rPr>
          <w:spacing w:val="-1"/>
        </w:rPr>
        <w:t xml:space="preserve"> </w:t>
      </w:r>
      <w:r>
        <w:t>for</w:t>
      </w:r>
      <w:r>
        <w:rPr>
          <w:spacing w:val="-2"/>
        </w:rPr>
        <w:t xml:space="preserve"> </w:t>
      </w:r>
      <w:r>
        <w:t>irrigation</w:t>
      </w:r>
      <w:r>
        <w:rPr>
          <w:spacing w:val="-2"/>
        </w:rPr>
        <w:t xml:space="preserve"> </w:t>
      </w:r>
      <w:r>
        <w:t>purposes</w:t>
      </w:r>
      <w:r>
        <w:rPr>
          <w:spacing w:val="-1"/>
        </w:rPr>
        <w:t xml:space="preserve"> </w:t>
      </w:r>
      <w:r>
        <w:t>in</w:t>
      </w:r>
      <w:r>
        <w:rPr>
          <w:spacing w:val="-4"/>
        </w:rPr>
        <w:t xml:space="preserve"> </w:t>
      </w:r>
      <w:r>
        <w:t>place</w:t>
      </w:r>
      <w:r>
        <w:rPr>
          <w:spacing w:val="-4"/>
        </w:rPr>
        <w:t xml:space="preserve"> </w:t>
      </w:r>
      <w:r>
        <w:t>of throttling the</w:t>
      </w:r>
      <w:r>
        <w:rPr>
          <w:spacing w:val="-4"/>
        </w:rPr>
        <w:t xml:space="preserve"> </w:t>
      </w:r>
      <w:r>
        <w:t>flow.</w:t>
      </w:r>
    </w:p>
    <w:p w14:paraId="157CF28A" w14:textId="77777777" w:rsidR="00BB4AD7" w:rsidRDefault="002D015B">
      <w:pPr>
        <w:pStyle w:val="ListParagraph"/>
        <w:numPr>
          <w:ilvl w:val="0"/>
          <w:numId w:val="2"/>
        </w:numPr>
        <w:tabs>
          <w:tab w:val="left" w:pos="841"/>
        </w:tabs>
        <w:spacing w:before="1"/>
        <w:ind w:right="413"/>
      </w:pPr>
      <w:r>
        <w:t>Installation of a VFD on agriculture booster pumps (≤ 150 hp) used for irrigation purposes in place of throttling the</w:t>
      </w:r>
      <w:r>
        <w:rPr>
          <w:spacing w:val="-3"/>
        </w:rPr>
        <w:t xml:space="preserve"> </w:t>
      </w:r>
      <w:r>
        <w:t>flow.</w:t>
      </w:r>
    </w:p>
    <w:p w14:paraId="75714A7B" w14:textId="77777777" w:rsidR="00BB4AD7" w:rsidRDefault="00BB4AD7">
      <w:pPr>
        <w:pStyle w:val="BodyText"/>
      </w:pPr>
    </w:p>
    <w:p w14:paraId="16435349" w14:textId="77777777" w:rsidR="00BB4AD7" w:rsidRDefault="00BB4AD7">
      <w:pPr>
        <w:pStyle w:val="BodyText"/>
        <w:spacing w:before="9"/>
        <w:rPr>
          <w:sz w:val="20"/>
        </w:rPr>
      </w:pPr>
    </w:p>
    <w:p w14:paraId="2FDEE213" w14:textId="77777777" w:rsidR="00BB4AD7" w:rsidRDefault="002D015B">
      <w:pPr>
        <w:pStyle w:val="Heading1"/>
      </w:pPr>
      <w:bookmarkStart w:id="4" w:name="_Toc58850232"/>
      <w:r>
        <w:rPr>
          <w:color w:val="CFAB79"/>
        </w:rPr>
        <w:t>BASE CASE DESCRIPTION</w:t>
      </w:r>
      <w:bookmarkEnd w:id="4"/>
    </w:p>
    <w:p w14:paraId="1493C27B" w14:textId="77777777" w:rsidR="00BB4AD7" w:rsidRDefault="002D015B">
      <w:pPr>
        <w:pStyle w:val="BodyText"/>
        <w:spacing w:before="115"/>
        <w:ind w:left="120" w:right="401"/>
      </w:pPr>
      <w:r>
        <w:t>The base case is defined as a constant speed well or booster agricultural pump that is controlled by throttling the flow based on irrigation needs. The Agricultural Water Energy Efficiency study,</w:t>
      </w:r>
      <w:r>
        <w:rPr>
          <w:vertAlign w:val="superscript"/>
        </w:rPr>
        <w:t>2</w:t>
      </w:r>
      <w:r>
        <w:t xml:space="preserve"> conducted by Irrigation Training and Research Center (ITRC) through the Public Interest Energy Research (PIER) Program, characterized the industry standard practice for agricultural irrigation pumps. The study included basic pump data gathered through an irrigation district energy survey from 30 irrigation districts. The data included the</w:t>
      </w:r>
      <w:r>
        <w:rPr>
          <w:spacing w:val="-4"/>
        </w:rPr>
        <w:t xml:space="preserve"> </w:t>
      </w:r>
      <w:r>
        <w:t>following:</w:t>
      </w:r>
    </w:p>
    <w:p w14:paraId="0398986B" w14:textId="77777777" w:rsidR="00BB4AD7" w:rsidRDefault="002D015B">
      <w:pPr>
        <w:pStyle w:val="ListParagraph"/>
        <w:numPr>
          <w:ilvl w:val="0"/>
          <w:numId w:val="3"/>
        </w:numPr>
        <w:tabs>
          <w:tab w:val="left" w:pos="840"/>
          <w:tab w:val="left" w:pos="841"/>
        </w:tabs>
        <w:spacing w:before="119"/>
        <w:ind w:hanging="361"/>
      </w:pPr>
      <w:r>
        <w:t>Type of</w:t>
      </w:r>
      <w:r>
        <w:rPr>
          <w:spacing w:val="-3"/>
        </w:rPr>
        <w:t xml:space="preserve"> </w:t>
      </w:r>
      <w:r>
        <w:t>pump:</w:t>
      </w:r>
    </w:p>
    <w:p w14:paraId="101BE909" w14:textId="77777777" w:rsidR="00BB4AD7" w:rsidRDefault="002D015B">
      <w:pPr>
        <w:pStyle w:val="ListParagraph"/>
        <w:numPr>
          <w:ilvl w:val="1"/>
          <w:numId w:val="3"/>
        </w:numPr>
        <w:tabs>
          <w:tab w:val="left" w:pos="1560"/>
          <w:tab w:val="left" w:pos="1561"/>
        </w:tabs>
        <w:spacing w:before="20"/>
        <w:ind w:hanging="361"/>
      </w:pPr>
      <w:r>
        <w:t>Deep well</w:t>
      </w:r>
      <w:r>
        <w:rPr>
          <w:spacing w:val="-1"/>
        </w:rPr>
        <w:t xml:space="preserve"> </w:t>
      </w:r>
      <w:r>
        <w:t>pumps</w:t>
      </w:r>
    </w:p>
    <w:p w14:paraId="19C7BF89" w14:textId="77777777" w:rsidR="00BB4AD7" w:rsidRDefault="002D015B">
      <w:pPr>
        <w:pStyle w:val="ListParagraph"/>
        <w:numPr>
          <w:ilvl w:val="1"/>
          <w:numId w:val="3"/>
        </w:numPr>
        <w:tabs>
          <w:tab w:val="left" w:pos="1560"/>
          <w:tab w:val="left" w:pos="1561"/>
        </w:tabs>
        <w:spacing w:before="15"/>
        <w:ind w:hanging="361"/>
      </w:pPr>
      <w:r>
        <w:t>Surface supply pumps (includes lift and booster</w:t>
      </w:r>
      <w:r>
        <w:rPr>
          <w:spacing w:val="-8"/>
        </w:rPr>
        <w:t xml:space="preserve"> </w:t>
      </w:r>
      <w:r>
        <w:t>pumps)</w:t>
      </w:r>
    </w:p>
    <w:p w14:paraId="1F0BA644" w14:textId="77777777" w:rsidR="00BB4AD7" w:rsidRDefault="002D015B">
      <w:pPr>
        <w:pStyle w:val="ListParagraph"/>
        <w:numPr>
          <w:ilvl w:val="1"/>
          <w:numId w:val="3"/>
        </w:numPr>
        <w:tabs>
          <w:tab w:val="left" w:pos="1560"/>
          <w:tab w:val="left" w:pos="1561"/>
        </w:tabs>
        <w:spacing w:before="12"/>
        <w:ind w:hanging="361"/>
      </w:pPr>
      <w:r>
        <w:t>Surface drain</w:t>
      </w:r>
      <w:r>
        <w:rPr>
          <w:spacing w:val="-5"/>
        </w:rPr>
        <w:t xml:space="preserve"> </w:t>
      </w:r>
      <w:r>
        <w:t>pumps</w:t>
      </w:r>
    </w:p>
    <w:p w14:paraId="1CF63AB9" w14:textId="77777777" w:rsidR="00BB4AD7" w:rsidRDefault="002D015B">
      <w:pPr>
        <w:pStyle w:val="ListParagraph"/>
        <w:numPr>
          <w:ilvl w:val="0"/>
          <w:numId w:val="3"/>
        </w:numPr>
        <w:tabs>
          <w:tab w:val="left" w:pos="840"/>
          <w:tab w:val="left" w:pos="841"/>
        </w:tabs>
        <w:spacing w:before="13"/>
        <w:ind w:hanging="361"/>
      </w:pPr>
      <w:r>
        <w:t>Pump horsepower</w:t>
      </w:r>
    </w:p>
    <w:p w14:paraId="2D3791A4" w14:textId="77777777" w:rsidR="00BB4AD7" w:rsidRDefault="002D015B">
      <w:pPr>
        <w:pStyle w:val="ListParagraph"/>
        <w:numPr>
          <w:ilvl w:val="0"/>
          <w:numId w:val="3"/>
        </w:numPr>
        <w:tabs>
          <w:tab w:val="left" w:pos="840"/>
          <w:tab w:val="left" w:pos="841"/>
        </w:tabs>
        <w:ind w:hanging="361"/>
      </w:pPr>
      <w:r>
        <w:t>Pump annual electrical energy</w:t>
      </w:r>
      <w:r>
        <w:rPr>
          <w:spacing w:val="-1"/>
        </w:rPr>
        <w:t xml:space="preserve"> </w:t>
      </w:r>
      <w:r>
        <w:t>consumption</w:t>
      </w:r>
    </w:p>
    <w:p w14:paraId="47DB1087" w14:textId="77777777" w:rsidR="00BB4AD7" w:rsidRDefault="002D015B">
      <w:pPr>
        <w:pStyle w:val="ListParagraph"/>
        <w:numPr>
          <w:ilvl w:val="0"/>
          <w:numId w:val="3"/>
        </w:numPr>
        <w:tabs>
          <w:tab w:val="left" w:pos="840"/>
          <w:tab w:val="left" w:pos="841"/>
        </w:tabs>
        <w:spacing w:before="22"/>
        <w:ind w:hanging="361"/>
      </w:pPr>
      <w:r>
        <w:t>Whether pump efficiencies were checked annually</w:t>
      </w:r>
    </w:p>
    <w:p w14:paraId="3A15DD9D" w14:textId="77777777" w:rsidR="00BB4AD7" w:rsidRDefault="002D015B">
      <w:pPr>
        <w:pStyle w:val="ListParagraph"/>
        <w:numPr>
          <w:ilvl w:val="0"/>
          <w:numId w:val="3"/>
        </w:numPr>
        <w:tabs>
          <w:tab w:val="left" w:pos="840"/>
          <w:tab w:val="left" w:pos="841"/>
        </w:tabs>
        <w:ind w:hanging="361"/>
      </w:pPr>
      <w:r>
        <w:t>Average pumping</w:t>
      </w:r>
      <w:r>
        <w:rPr>
          <w:spacing w:val="-3"/>
        </w:rPr>
        <w:t xml:space="preserve"> </w:t>
      </w:r>
      <w:r>
        <w:t>efficiency</w:t>
      </w:r>
    </w:p>
    <w:p w14:paraId="73E3B051" w14:textId="77777777" w:rsidR="00BB4AD7" w:rsidRDefault="002D015B">
      <w:pPr>
        <w:pStyle w:val="ListParagraph"/>
        <w:numPr>
          <w:ilvl w:val="0"/>
          <w:numId w:val="3"/>
        </w:numPr>
        <w:tabs>
          <w:tab w:val="left" w:pos="840"/>
          <w:tab w:val="left" w:pos="841"/>
        </w:tabs>
        <w:spacing w:before="20"/>
        <w:ind w:hanging="361"/>
      </w:pPr>
      <w:r>
        <w:t>Whether variable frequency drives (VFDs) were installed on the</w:t>
      </w:r>
      <w:r>
        <w:rPr>
          <w:spacing w:val="-3"/>
        </w:rPr>
        <w:t xml:space="preserve"> </w:t>
      </w:r>
      <w:r>
        <w:t>pumps</w:t>
      </w:r>
    </w:p>
    <w:p w14:paraId="00EFFCEE" w14:textId="77777777" w:rsidR="00BB4AD7" w:rsidRDefault="00BB4AD7">
      <w:pPr>
        <w:pStyle w:val="BodyText"/>
        <w:rPr>
          <w:sz w:val="26"/>
        </w:rPr>
      </w:pPr>
    </w:p>
    <w:p w14:paraId="11C6E059" w14:textId="77777777" w:rsidR="00BB4AD7" w:rsidRDefault="002D015B">
      <w:pPr>
        <w:pStyle w:val="BodyText"/>
        <w:spacing w:before="192"/>
        <w:ind w:left="120" w:right="599"/>
      </w:pPr>
      <w:r>
        <w:t>A total of 2,045 pumps were represented in the survey data, only 60 of which (&lt; 3%) had VFDs incorporated into the pumping systems. The study revealed that VFDs are not commonly used in the industry and constant speed pumps are industrial standard practice. A study published by the Lawrence Berkeley National Lab (LBNL) confirmed this result.</w:t>
      </w:r>
      <w:r>
        <w:rPr>
          <w:vertAlign w:val="superscript"/>
        </w:rPr>
        <w:t>3</w:t>
      </w:r>
    </w:p>
    <w:p w14:paraId="15997E6B" w14:textId="77777777" w:rsidR="00BB4AD7" w:rsidRDefault="00BB4AD7">
      <w:pPr>
        <w:pStyle w:val="BodyText"/>
        <w:rPr>
          <w:sz w:val="24"/>
        </w:rPr>
      </w:pPr>
    </w:p>
    <w:p w14:paraId="3C9383CF" w14:textId="77777777" w:rsidR="00BB4AD7" w:rsidRDefault="00BB4AD7">
      <w:pPr>
        <w:pStyle w:val="BodyText"/>
        <w:spacing w:before="7"/>
        <w:rPr>
          <w:sz w:val="18"/>
        </w:rPr>
      </w:pPr>
    </w:p>
    <w:p w14:paraId="02346F7C" w14:textId="77777777" w:rsidR="00BB4AD7" w:rsidRDefault="002D015B">
      <w:pPr>
        <w:pStyle w:val="Heading1"/>
      </w:pPr>
      <w:bookmarkStart w:id="5" w:name="_Toc58850233"/>
      <w:r>
        <w:rPr>
          <w:color w:val="CFAB79"/>
        </w:rPr>
        <w:t>CODE REQUIREMENTS</w:t>
      </w:r>
      <w:bookmarkEnd w:id="5"/>
    </w:p>
    <w:p w14:paraId="30A5AA96" w14:textId="77777777" w:rsidR="00BB4AD7" w:rsidRDefault="002D015B">
      <w:pPr>
        <w:pStyle w:val="BodyText"/>
        <w:spacing w:before="115"/>
        <w:ind w:left="120"/>
      </w:pPr>
      <w:r>
        <w:t>There are no applicable state or federal codes that apply to this measure.</w:t>
      </w:r>
    </w:p>
    <w:p w14:paraId="5E8DFB5C" w14:textId="77777777" w:rsidR="00BB4AD7" w:rsidRDefault="00BB4AD7">
      <w:pPr>
        <w:pStyle w:val="BodyText"/>
      </w:pPr>
    </w:p>
    <w:p w14:paraId="07F0D21D" w14:textId="77777777" w:rsidR="00BB4AD7" w:rsidRDefault="00BB4AD7">
      <w:pPr>
        <w:pStyle w:val="BodyText"/>
        <w:spacing w:before="8"/>
        <w:rPr>
          <w:sz w:val="20"/>
        </w:rPr>
      </w:pPr>
    </w:p>
    <w:p w14:paraId="3CB96645" w14:textId="77777777" w:rsidR="00BB4AD7" w:rsidRDefault="002D015B">
      <w:pPr>
        <w:pStyle w:val="Heading1"/>
      </w:pPr>
      <w:bookmarkStart w:id="6" w:name="_Toc58850234"/>
      <w:r>
        <w:rPr>
          <w:color w:val="CFAB79"/>
        </w:rPr>
        <w:t>NORMALIZING UNIT</w:t>
      </w:r>
      <w:bookmarkEnd w:id="6"/>
    </w:p>
    <w:p w14:paraId="2F9546B3" w14:textId="77777777" w:rsidR="00BB4AD7" w:rsidRDefault="002D015B">
      <w:pPr>
        <w:pStyle w:val="BodyText"/>
        <w:spacing w:before="115"/>
        <w:ind w:left="120"/>
      </w:pPr>
      <w:r>
        <w:t>The normalizing unit is per horsepower (hp).</w:t>
      </w:r>
    </w:p>
    <w:p w14:paraId="0CC60E82" w14:textId="77777777" w:rsidR="00BB4AD7" w:rsidRDefault="00BB4AD7">
      <w:pPr>
        <w:pStyle w:val="BodyText"/>
        <w:rPr>
          <w:sz w:val="20"/>
        </w:rPr>
      </w:pPr>
    </w:p>
    <w:p w14:paraId="25273DA9" w14:textId="77777777" w:rsidR="00BB4AD7" w:rsidRDefault="00DF23AD">
      <w:pPr>
        <w:pStyle w:val="BodyText"/>
        <w:spacing w:before="5"/>
        <w:rPr>
          <w:sz w:val="28"/>
        </w:rPr>
      </w:pPr>
      <w:r>
        <w:pict w14:anchorId="6D754B37">
          <v:rect id="_x0000_s1030" style="position:absolute;margin-left:1in;margin-top:19.35pt;width:2in;height:.7pt;z-index:-15727616;mso-wrap-distance-left:0;mso-wrap-distance-right:0;mso-position-horizontal-relative:page" fillcolor="black" stroked="f">
            <w10:wrap type="topAndBottom" anchorx="page"/>
          </v:rect>
        </w:pict>
      </w:r>
    </w:p>
    <w:p w14:paraId="17F4C022" w14:textId="77777777" w:rsidR="00BB4AD7" w:rsidRDefault="00BB4AD7">
      <w:pPr>
        <w:pStyle w:val="BodyText"/>
        <w:rPr>
          <w:sz w:val="20"/>
        </w:rPr>
      </w:pPr>
    </w:p>
    <w:p w14:paraId="237B9CD7" w14:textId="77777777" w:rsidR="00BB4AD7" w:rsidRDefault="00BB4AD7">
      <w:pPr>
        <w:pStyle w:val="BodyText"/>
        <w:spacing w:before="10"/>
        <w:rPr>
          <w:sz w:val="21"/>
        </w:rPr>
      </w:pPr>
    </w:p>
    <w:p w14:paraId="583C9854" w14:textId="77777777" w:rsidR="00BB4AD7" w:rsidRDefault="002D015B">
      <w:pPr>
        <w:spacing w:before="69"/>
        <w:ind w:left="120" w:right="501"/>
        <w:rPr>
          <w:sz w:val="18"/>
        </w:rPr>
      </w:pPr>
      <w:r>
        <w:rPr>
          <w:position w:val="5"/>
          <w:sz w:val="12"/>
        </w:rPr>
        <w:t xml:space="preserve">2 </w:t>
      </w:r>
      <w:r>
        <w:rPr>
          <w:sz w:val="18"/>
        </w:rPr>
        <w:t xml:space="preserve">Burt, C., D. Howes, and B. Freeman (Irrigation Training and Research Center). 2011. </w:t>
      </w:r>
      <w:r>
        <w:rPr>
          <w:i/>
          <w:sz w:val="18"/>
        </w:rPr>
        <w:t xml:space="preserve">Agricultural Water Energy Efficiency. </w:t>
      </w:r>
      <w:r>
        <w:rPr>
          <w:sz w:val="18"/>
        </w:rPr>
        <w:t>Public Interest Energy Research (PIER) Program Final Project Report. California Energy Commission. CEC-500-2011-049.</w:t>
      </w:r>
    </w:p>
    <w:p w14:paraId="27ACBF82" w14:textId="77777777" w:rsidR="00BB4AD7" w:rsidRDefault="002D015B">
      <w:pPr>
        <w:spacing w:before="122"/>
        <w:ind w:left="120" w:right="432"/>
        <w:rPr>
          <w:sz w:val="18"/>
        </w:rPr>
      </w:pPr>
      <w:r>
        <w:rPr>
          <w:position w:val="5"/>
          <w:sz w:val="12"/>
        </w:rPr>
        <w:t xml:space="preserve">3 </w:t>
      </w:r>
      <w:r>
        <w:rPr>
          <w:sz w:val="18"/>
        </w:rPr>
        <w:t xml:space="preserve">Marks, G. and E. Wilcox, (iP Solutions Corp), D. Olsen and S. Goli (Lawrence Berkeley National Laboratory). 2013. </w:t>
      </w:r>
      <w:r>
        <w:rPr>
          <w:i/>
          <w:sz w:val="18"/>
        </w:rPr>
        <w:t xml:space="preserve">Opportunities for Demand Response in California Agricultural Irrigation: A Scoping Study. </w:t>
      </w:r>
      <w:r>
        <w:rPr>
          <w:sz w:val="18"/>
        </w:rPr>
        <w:t>Ernest Orlando Lawrence Berkeley National Laboratory. LBNL-6108E.</w:t>
      </w:r>
    </w:p>
    <w:p w14:paraId="293BB4C5" w14:textId="77777777" w:rsidR="00BB4AD7" w:rsidRDefault="00BB4AD7">
      <w:pPr>
        <w:rPr>
          <w:sz w:val="18"/>
        </w:rPr>
        <w:sectPr w:rsidR="00BB4AD7">
          <w:pgSz w:w="12240" w:h="15840"/>
          <w:pgMar w:top="1220" w:right="1040" w:bottom="1320" w:left="1320" w:header="858" w:footer="1129" w:gutter="0"/>
          <w:cols w:space="720"/>
        </w:sectPr>
      </w:pPr>
    </w:p>
    <w:p w14:paraId="7292BB89" w14:textId="77777777" w:rsidR="00BB4AD7" w:rsidRDefault="00BB4AD7">
      <w:pPr>
        <w:pStyle w:val="BodyText"/>
        <w:rPr>
          <w:sz w:val="20"/>
        </w:rPr>
      </w:pPr>
    </w:p>
    <w:p w14:paraId="02316C09" w14:textId="77777777" w:rsidR="00BB4AD7" w:rsidRDefault="00BB4AD7">
      <w:pPr>
        <w:pStyle w:val="BodyText"/>
        <w:rPr>
          <w:sz w:val="20"/>
        </w:rPr>
      </w:pPr>
    </w:p>
    <w:p w14:paraId="3D0A5316" w14:textId="77777777" w:rsidR="00BB4AD7" w:rsidRDefault="002D015B">
      <w:pPr>
        <w:pStyle w:val="Heading1"/>
        <w:spacing w:before="211"/>
      </w:pPr>
      <w:bookmarkStart w:id="7" w:name="_Toc58850235"/>
      <w:r>
        <w:rPr>
          <w:color w:val="CFAB79"/>
        </w:rPr>
        <w:t>PROGRAM REQUIREMENTS</w:t>
      </w:r>
      <w:bookmarkEnd w:id="7"/>
    </w:p>
    <w:p w14:paraId="50224737" w14:textId="77777777" w:rsidR="00BB4AD7" w:rsidRDefault="002D015B">
      <w:pPr>
        <w:spacing w:before="115"/>
        <w:ind w:left="120"/>
        <w:rPr>
          <w:i/>
        </w:rPr>
      </w:pPr>
      <w:r>
        <w:rPr>
          <w:i/>
          <w:color w:val="5F5F5F"/>
        </w:rPr>
        <w:t xml:space="preserve">Measure Implementation Eligibility </w:t>
      </w:r>
    </w:p>
    <w:p w14:paraId="4E12D9C1" w14:textId="77777777" w:rsidR="00BB4AD7" w:rsidRDefault="002D015B">
      <w:pPr>
        <w:pStyle w:val="BodyText"/>
        <w:spacing w:before="120"/>
        <w:ind w:left="120" w:right="692"/>
      </w:pPr>
      <w:r>
        <w:t>All combinations of measure application type, delivery type, and sector that are established for this measure are specified below. Measure application type is a categorization based on the circumstances and timing of the measure installation; each measure application type is distinguished by its baseline determination, cost basis, eligibility, and documentation requirements. Delivery type is the broad categorization of the delivery channel through which the market intervention strategy (financial incentives or other services) is targeted. This table also designates the broad market sector(s) that are applicable for this measure.</w:t>
      </w:r>
    </w:p>
    <w:p w14:paraId="4438939C" w14:textId="77777777" w:rsidR="00BB4AD7" w:rsidRDefault="002D015B">
      <w:pPr>
        <w:spacing w:before="120"/>
        <w:ind w:left="120" w:right="581"/>
        <w:rPr>
          <w:i/>
        </w:rPr>
      </w:pPr>
      <w:r>
        <w:rPr>
          <w:i/>
        </w:rPr>
        <w:t xml:space="preserve">Note that some of the implementation combinations below may not be allowed for some measure offerings by all program administrators. </w:t>
      </w:r>
    </w:p>
    <w:p w14:paraId="4983A0FC" w14:textId="77777777" w:rsidR="00BB4AD7" w:rsidRDefault="00BB4AD7">
      <w:pPr>
        <w:pStyle w:val="BodyText"/>
        <w:spacing w:before="3"/>
        <w:rPr>
          <w:i/>
          <w:sz w:val="23"/>
        </w:rPr>
      </w:pPr>
    </w:p>
    <w:p w14:paraId="59C3D12A" w14:textId="77777777" w:rsidR="00BB4AD7" w:rsidRDefault="002D015B">
      <w:pPr>
        <w:ind w:left="120"/>
        <w:rPr>
          <w:sz w:val="20"/>
        </w:rPr>
      </w:pPr>
      <w:r>
        <w:rPr>
          <w:sz w:val="20"/>
        </w:rPr>
        <w:t>Implementation Eligibility</w:t>
      </w:r>
    </w:p>
    <w:p w14:paraId="483C2E7F" w14:textId="77777777" w:rsidR="00BB4AD7" w:rsidRDefault="00BB4AD7">
      <w:pPr>
        <w:pStyle w:val="BodyText"/>
        <w:spacing w:before="5"/>
        <w:rPr>
          <w:sz w:val="6"/>
        </w:rPr>
      </w:pPr>
    </w:p>
    <w:tbl>
      <w:tblPr>
        <w:tblW w:w="0" w:type="auto"/>
        <w:tblInd w:w="13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3025"/>
        <w:gridCol w:w="3025"/>
        <w:gridCol w:w="3025"/>
      </w:tblGrid>
      <w:tr w:rsidR="00BB4AD7" w14:paraId="3C65FCF5" w14:textId="77777777">
        <w:trPr>
          <w:trHeight w:val="290"/>
        </w:trPr>
        <w:tc>
          <w:tcPr>
            <w:tcW w:w="3025" w:type="dxa"/>
            <w:shd w:val="clear" w:color="auto" w:fill="F1F1F1"/>
          </w:tcPr>
          <w:p w14:paraId="47D089BD" w14:textId="77777777" w:rsidR="00BB4AD7" w:rsidRDefault="002D015B">
            <w:pPr>
              <w:pStyle w:val="TableParagraph"/>
              <w:rPr>
                <w:sz w:val="20"/>
              </w:rPr>
            </w:pPr>
            <w:r>
              <w:rPr>
                <w:sz w:val="20"/>
              </w:rPr>
              <w:t>Measure Application Type</w:t>
            </w:r>
          </w:p>
        </w:tc>
        <w:tc>
          <w:tcPr>
            <w:tcW w:w="3025" w:type="dxa"/>
            <w:shd w:val="clear" w:color="auto" w:fill="F1F1F1"/>
          </w:tcPr>
          <w:p w14:paraId="2640FC11" w14:textId="77777777" w:rsidR="00BB4AD7" w:rsidRDefault="002D015B">
            <w:pPr>
              <w:pStyle w:val="TableParagraph"/>
              <w:rPr>
                <w:sz w:val="20"/>
              </w:rPr>
            </w:pPr>
            <w:r>
              <w:rPr>
                <w:sz w:val="20"/>
              </w:rPr>
              <w:t>Delivery Type</w:t>
            </w:r>
          </w:p>
        </w:tc>
        <w:tc>
          <w:tcPr>
            <w:tcW w:w="3025" w:type="dxa"/>
            <w:shd w:val="clear" w:color="auto" w:fill="F1F1F1"/>
          </w:tcPr>
          <w:p w14:paraId="2612DAF0" w14:textId="77777777" w:rsidR="00BB4AD7" w:rsidRDefault="002D015B">
            <w:pPr>
              <w:pStyle w:val="TableParagraph"/>
              <w:ind w:left="106"/>
              <w:rPr>
                <w:sz w:val="20"/>
              </w:rPr>
            </w:pPr>
            <w:r>
              <w:rPr>
                <w:sz w:val="20"/>
              </w:rPr>
              <w:t>Sector</w:t>
            </w:r>
          </w:p>
        </w:tc>
      </w:tr>
      <w:tr w:rsidR="00BB4AD7" w14:paraId="6E507386" w14:textId="77777777">
        <w:trPr>
          <w:trHeight w:val="290"/>
        </w:trPr>
        <w:tc>
          <w:tcPr>
            <w:tcW w:w="3025" w:type="dxa"/>
          </w:tcPr>
          <w:p w14:paraId="2FA61FB1" w14:textId="77777777" w:rsidR="00BB4AD7" w:rsidRDefault="002D015B">
            <w:pPr>
              <w:pStyle w:val="TableParagraph"/>
              <w:rPr>
                <w:sz w:val="20"/>
              </w:rPr>
            </w:pPr>
            <w:r>
              <w:rPr>
                <w:sz w:val="20"/>
              </w:rPr>
              <w:t>Add-on equipment</w:t>
            </w:r>
          </w:p>
        </w:tc>
        <w:tc>
          <w:tcPr>
            <w:tcW w:w="3025" w:type="dxa"/>
          </w:tcPr>
          <w:p w14:paraId="131A973B" w14:textId="77777777" w:rsidR="00BB4AD7" w:rsidRDefault="002D015B">
            <w:pPr>
              <w:pStyle w:val="TableParagraph"/>
              <w:rPr>
                <w:sz w:val="20"/>
              </w:rPr>
            </w:pPr>
            <w:r>
              <w:rPr>
                <w:sz w:val="20"/>
              </w:rPr>
              <w:t>DnDeemDI</w:t>
            </w:r>
          </w:p>
        </w:tc>
        <w:tc>
          <w:tcPr>
            <w:tcW w:w="3025" w:type="dxa"/>
          </w:tcPr>
          <w:p w14:paraId="7E28624F" w14:textId="77777777" w:rsidR="00BB4AD7" w:rsidRDefault="002D015B">
            <w:pPr>
              <w:pStyle w:val="TableParagraph"/>
              <w:ind w:left="106"/>
              <w:rPr>
                <w:sz w:val="20"/>
              </w:rPr>
            </w:pPr>
            <w:r>
              <w:rPr>
                <w:sz w:val="20"/>
              </w:rPr>
              <w:t>Ag</w:t>
            </w:r>
          </w:p>
        </w:tc>
      </w:tr>
      <w:tr w:rsidR="00BB4AD7" w14:paraId="22A9E880" w14:textId="77777777">
        <w:trPr>
          <w:trHeight w:val="290"/>
        </w:trPr>
        <w:tc>
          <w:tcPr>
            <w:tcW w:w="3025" w:type="dxa"/>
          </w:tcPr>
          <w:p w14:paraId="1F6CBB37" w14:textId="77777777" w:rsidR="00BB4AD7" w:rsidRDefault="002D015B">
            <w:pPr>
              <w:pStyle w:val="TableParagraph"/>
              <w:rPr>
                <w:sz w:val="20"/>
              </w:rPr>
            </w:pPr>
            <w:r>
              <w:rPr>
                <w:sz w:val="20"/>
              </w:rPr>
              <w:t>Add-on equipment</w:t>
            </w:r>
          </w:p>
        </w:tc>
        <w:tc>
          <w:tcPr>
            <w:tcW w:w="3025" w:type="dxa"/>
          </w:tcPr>
          <w:p w14:paraId="2956F73C" w14:textId="77777777" w:rsidR="00BB4AD7" w:rsidRDefault="002D015B">
            <w:pPr>
              <w:pStyle w:val="TableParagraph"/>
              <w:rPr>
                <w:sz w:val="20"/>
              </w:rPr>
            </w:pPr>
            <w:r>
              <w:rPr>
                <w:sz w:val="20"/>
              </w:rPr>
              <w:t>DnDeemed</w:t>
            </w:r>
          </w:p>
        </w:tc>
        <w:tc>
          <w:tcPr>
            <w:tcW w:w="3025" w:type="dxa"/>
          </w:tcPr>
          <w:p w14:paraId="085792DD" w14:textId="77777777" w:rsidR="00BB4AD7" w:rsidRDefault="002D015B">
            <w:pPr>
              <w:pStyle w:val="TableParagraph"/>
              <w:ind w:left="106"/>
              <w:rPr>
                <w:sz w:val="20"/>
              </w:rPr>
            </w:pPr>
            <w:r>
              <w:rPr>
                <w:sz w:val="20"/>
              </w:rPr>
              <w:t>Ag</w:t>
            </w:r>
          </w:p>
        </w:tc>
      </w:tr>
      <w:tr w:rsidR="00BB4AD7" w14:paraId="4D1E1292" w14:textId="77777777">
        <w:trPr>
          <w:trHeight w:val="290"/>
        </w:trPr>
        <w:tc>
          <w:tcPr>
            <w:tcW w:w="3025" w:type="dxa"/>
          </w:tcPr>
          <w:p w14:paraId="6B494386" w14:textId="77777777" w:rsidR="00BB4AD7" w:rsidRDefault="002D015B">
            <w:pPr>
              <w:pStyle w:val="TableParagraph"/>
              <w:rPr>
                <w:sz w:val="20"/>
              </w:rPr>
            </w:pPr>
            <w:r>
              <w:rPr>
                <w:sz w:val="20"/>
              </w:rPr>
              <w:t>Add-on equipment</w:t>
            </w:r>
          </w:p>
        </w:tc>
        <w:tc>
          <w:tcPr>
            <w:tcW w:w="3025" w:type="dxa"/>
          </w:tcPr>
          <w:p w14:paraId="74B06164" w14:textId="77777777" w:rsidR="00BB4AD7" w:rsidRDefault="002D015B">
            <w:pPr>
              <w:pStyle w:val="TableParagraph"/>
              <w:rPr>
                <w:sz w:val="20"/>
              </w:rPr>
            </w:pPr>
            <w:r>
              <w:rPr>
                <w:sz w:val="20"/>
              </w:rPr>
              <w:t>DnDeemDI</w:t>
            </w:r>
          </w:p>
        </w:tc>
        <w:tc>
          <w:tcPr>
            <w:tcW w:w="3025" w:type="dxa"/>
          </w:tcPr>
          <w:p w14:paraId="2D9520F5" w14:textId="77777777" w:rsidR="00BB4AD7" w:rsidRDefault="002D015B">
            <w:pPr>
              <w:pStyle w:val="TableParagraph"/>
              <w:ind w:left="106"/>
              <w:rPr>
                <w:sz w:val="20"/>
              </w:rPr>
            </w:pPr>
            <w:r>
              <w:rPr>
                <w:sz w:val="20"/>
              </w:rPr>
              <w:t>Com</w:t>
            </w:r>
          </w:p>
        </w:tc>
      </w:tr>
      <w:tr w:rsidR="00BB4AD7" w14:paraId="0CCD35F9" w14:textId="77777777">
        <w:trPr>
          <w:trHeight w:val="290"/>
        </w:trPr>
        <w:tc>
          <w:tcPr>
            <w:tcW w:w="3025" w:type="dxa"/>
          </w:tcPr>
          <w:p w14:paraId="15BB5464" w14:textId="77777777" w:rsidR="00BB4AD7" w:rsidRDefault="002D015B">
            <w:pPr>
              <w:pStyle w:val="TableParagraph"/>
              <w:rPr>
                <w:sz w:val="20"/>
              </w:rPr>
            </w:pPr>
            <w:r>
              <w:rPr>
                <w:sz w:val="20"/>
              </w:rPr>
              <w:t>Add-on equipment</w:t>
            </w:r>
          </w:p>
        </w:tc>
        <w:tc>
          <w:tcPr>
            <w:tcW w:w="3025" w:type="dxa"/>
          </w:tcPr>
          <w:p w14:paraId="4EA142A4" w14:textId="77777777" w:rsidR="00BB4AD7" w:rsidRDefault="002D015B">
            <w:pPr>
              <w:pStyle w:val="TableParagraph"/>
              <w:rPr>
                <w:sz w:val="20"/>
              </w:rPr>
            </w:pPr>
            <w:r>
              <w:rPr>
                <w:sz w:val="20"/>
              </w:rPr>
              <w:t>DnDeemed</w:t>
            </w:r>
          </w:p>
        </w:tc>
        <w:tc>
          <w:tcPr>
            <w:tcW w:w="3025" w:type="dxa"/>
          </w:tcPr>
          <w:p w14:paraId="1B865DE7" w14:textId="77777777" w:rsidR="00BB4AD7" w:rsidRDefault="002D015B">
            <w:pPr>
              <w:pStyle w:val="TableParagraph"/>
              <w:ind w:left="106"/>
              <w:rPr>
                <w:sz w:val="20"/>
              </w:rPr>
            </w:pPr>
            <w:r>
              <w:rPr>
                <w:sz w:val="20"/>
              </w:rPr>
              <w:t>Com</w:t>
            </w:r>
          </w:p>
        </w:tc>
      </w:tr>
      <w:tr w:rsidR="00BB4AD7" w14:paraId="17BB15F3" w14:textId="77777777">
        <w:trPr>
          <w:trHeight w:val="290"/>
        </w:trPr>
        <w:tc>
          <w:tcPr>
            <w:tcW w:w="3025" w:type="dxa"/>
          </w:tcPr>
          <w:p w14:paraId="379C36C6" w14:textId="77777777" w:rsidR="00BB4AD7" w:rsidRDefault="002D015B">
            <w:pPr>
              <w:pStyle w:val="TableParagraph"/>
              <w:rPr>
                <w:sz w:val="20"/>
              </w:rPr>
            </w:pPr>
            <w:r>
              <w:rPr>
                <w:sz w:val="20"/>
              </w:rPr>
              <w:t>New construction</w:t>
            </w:r>
          </w:p>
        </w:tc>
        <w:tc>
          <w:tcPr>
            <w:tcW w:w="3025" w:type="dxa"/>
          </w:tcPr>
          <w:p w14:paraId="7EEE0EEF" w14:textId="77777777" w:rsidR="00BB4AD7" w:rsidRDefault="002D015B">
            <w:pPr>
              <w:pStyle w:val="TableParagraph"/>
              <w:rPr>
                <w:sz w:val="20"/>
              </w:rPr>
            </w:pPr>
            <w:r>
              <w:rPr>
                <w:sz w:val="20"/>
              </w:rPr>
              <w:t>DnDeemDI</w:t>
            </w:r>
          </w:p>
        </w:tc>
        <w:tc>
          <w:tcPr>
            <w:tcW w:w="3025" w:type="dxa"/>
          </w:tcPr>
          <w:p w14:paraId="0DBFF232" w14:textId="77777777" w:rsidR="00BB4AD7" w:rsidRDefault="002D015B">
            <w:pPr>
              <w:pStyle w:val="TableParagraph"/>
              <w:ind w:left="106"/>
              <w:rPr>
                <w:sz w:val="20"/>
              </w:rPr>
            </w:pPr>
            <w:r>
              <w:rPr>
                <w:sz w:val="20"/>
              </w:rPr>
              <w:t>Ag</w:t>
            </w:r>
          </w:p>
        </w:tc>
      </w:tr>
      <w:tr w:rsidR="00BB4AD7" w14:paraId="76F7CB6A" w14:textId="77777777">
        <w:trPr>
          <w:trHeight w:val="290"/>
        </w:trPr>
        <w:tc>
          <w:tcPr>
            <w:tcW w:w="3025" w:type="dxa"/>
          </w:tcPr>
          <w:p w14:paraId="7F45BE13" w14:textId="77777777" w:rsidR="00BB4AD7" w:rsidRDefault="002D015B">
            <w:pPr>
              <w:pStyle w:val="TableParagraph"/>
              <w:rPr>
                <w:sz w:val="20"/>
              </w:rPr>
            </w:pPr>
            <w:r>
              <w:rPr>
                <w:sz w:val="20"/>
              </w:rPr>
              <w:t>New construction</w:t>
            </w:r>
          </w:p>
        </w:tc>
        <w:tc>
          <w:tcPr>
            <w:tcW w:w="3025" w:type="dxa"/>
          </w:tcPr>
          <w:p w14:paraId="3199E4F3" w14:textId="77777777" w:rsidR="00BB4AD7" w:rsidRDefault="002D015B">
            <w:pPr>
              <w:pStyle w:val="TableParagraph"/>
              <w:rPr>
                <w:sz w:val="20"/>
              </w:rPr>
            </w:pPr>
            <w:r>
              <w:rPr>
                <w:sz w:val="20"/>
              </w:rPr>
              <w:t>DnDeemed</w:t>
            </w:r>
          </w:p>
        </w:tc>
        <w:tc>
          <w:tcPr>
            <w:tcW w:w="3025" w:type="dxa"/>
          </w:tcPr>
          <w:p w14:paraId="77F11677" w14:textId="77777777" w:rsidR="00BB4AD7" w:rsidRDefault="002D015B">
            <w:pPr>
              <w:pStyle w:val="TableParagraph"/>
              <w:ind w:left="106"/>
              <w:rPr>
                <w:sz w:val="20"/>
              </w:rPr>
            </w:pPr>
            <w:r>
              <w:rPr>
                <w:sz w:val="20"/>
              </w:rPr>
              <w:t>Ag</w:t>
            </w:r>
          </w:p>
        </w:tc>
      </w:tr>
      <w:tr w:rsidR="00BB4AD7" w14:paraId="2D25FABA" w14:textId="77777777">
        <w:trPr>
          <w:trHeight w:val="290"/>
        </w:trPr>
        <w:tc>
          <w:tcPr>
            <w:tcW w:w="3025" w:type="dxa"/>
          </w:tcPr>
          <w:p w14:paraId="1B4388D6" w14:textId="77777777" w:rsidR="00BB4AD7" w:rsidRDefault="002D015B">
            <w:pPr>
              <w:pStyle w:val="TableParagraph"/>
              <w:rPr>
                <w:sz w:val="20"/>
              </w:rPr>
            </w:pPr>
            <w:r>
              <w:rPr>
                <w:sz w:val="20"/>
              </w:rPr>
              <w:t>New construction</w:t>
            </w:r>
          </w:p>
        </w:tc>
        <w:tc>
          <w:tcPr>
            <w:tcW w:w="3025" w:type="dxa"/>
          </w:tcPr>
          <w:p w14:paraId="08E53FCE" w14:textId="77777777" w:rsidR="00BB4AD7" w:rsidRDefault="002D015B">
            <w:pPr>
              <w:pStyle w:val="TableParagraph"/>
              <w:rPr>
                <w:sz w:val="20"/>
              </w:rPr>
            </w:pPr>
            <w:r>
              <w:rPr>
                <w:sz w:val="20"/>
              </w:rPr>
              <w:t>DnDeemDI</w:t>
            </w:r>
          </w:p>
        </w:tc>
        <w:tc>
          <w:tcPr>
            <w:tcW w:w="3025" w:type="dxa"/>
          </w:tcPr>
          <w:p w14:paraId="5DCD6EF1" w14:textId="77777777" w:rsidR="00BB4AD7" w:rsidRDefault="002D015B">
            <w:pPr>
              <w:pStyle w:val="TableParagraph"/>
              <w:ind w:left="106"/>
              <w:rPr>
                <w:sz w:val="20"/>
              </w:rPr>
            </w:pPr>
            <w:r>
              <w:rPr>
                <w:sz w:val="20"/>
              </w:rPr>
              <w:t>Com</w:t>
            </w:r>
          </w:p>
        </w:tc>
      </w:tr>
      <w:tr w:rsidR="00BB4AD7" w14:paraId="19241906" w14:textId="77777777">
        <w:trPr>
          <w:trHeight w:val="290"/>
        </w:trPr>
        <w:tc>
          <w:tcPr>
            <w:tcW w:w="3025" w:type="dxa"/>
          </w:tcPr>
          <w:p w14:paraId="25108FFB" w14:textId="77777777" w:rsidR="00BB4AD7" w:rsidRDefault="002D015B">
            <w:pPr>
              <w:pStyle w:val="TableParagraph"/>
              <w:rPr>
                <w:sz w:val="20"/>
              </w:rPr>
            </w:pPr>
            <w:r>
              <w:rPr>
                <w:sz w:val="20"/>
              </w:rPr>
              <w:t>New construction</w:t>
            </w:r>
          </w:p>
        </w:tc>
        <w:tc>
          <w:tcPr>
            <w:tcW w:w="3025" w:type="dxa"/>
          </w:tcPr>
          <w:p w14:paraId="077064EE" w14:textId="77777777" w:rsidR="00BB4AD7" w:rsidRDefault="002D015B">
            <w:pPr>
              <w:pStyle w:val="TableParagraph"/>
              <w:rPr>
                <w:sz w:val="20"/>
              </w:rPr>
            </w:pPr>
            <w:r>
              <w:rPr>
                <w:sz w:val="20"/>
              </w:rPr>
              <w:t>DnDeemed</w:t>
            </w:r>
          </w:p>
        </w:tc>
        <w:tc>
          <w:tcPr>
            <w:tcW w:w="3025" w:type="dxa"/>
          </w:tcPr>
          <w:p w14:paraId="7DDCC2A4" w14:textId="77777777" w:rsidR="00BB4AD7" w:rsidRDefault="002D015B">
            <w:pPr>
              <w:pStyle w:val="TableParagraph"/>
              <w:ind w:left="106"/>
              <w:rPr>
                <w:sz w:val="20"/>
              </w:rPr>
            </w:pPr>
            <w:r>
              <w:rPr>
                <w:sz w:val="20"/>
              </w:rPr>
              <w:t>Com</w:t>
            </w:r>
          </w:p>
        </w:tc>
      </w:tr>
    </w:tbl>
    <w:p w14:paraId="18E0B002" w14:textId="77777777" w:rsidR="00BB4AD7" w:rsidRDefault="00BB4AD7">
      <w:pPr>
        <w:pStyle w:val="BodyText"/>
        <w:rPr>
          <w:sz w:val="20"/>
        </w:rPr>
      </w:pPr>
    </w:p>
    <w:p w14:paraId="7ECCF25F" w14:textId="77777777" w:rsidR="00BB4AD7" w:rsidRDefault="00BB4AD7">
      <w:pPr>
        <w:pStyle w:val="BodyText"/>
        <w:spacing w:before="8"/>
        <w:rPr>
          <w:sz w:val="21"/>
        </w:rPr>
      </w:pPr>
    </w:p>
    <w:p w14:paraId="177B28D1" w14:textId="77777777" w:rsidR="00BB4AD7" w:rsidRDefault="002D015B">
      <w:pPr>
        <w:pStyle w:val="BodyText"/>
        <w:ind w:left="120" w:right="527"/>
      </w:pPr>
      <w:r>
        <w:t>To substantiate conformance with program requirements, the customer must supply an invoice or other supporting documentation that includes the following:</w:t>
      </w:r>
    </w:p>
    <w:p w14:paraId="6AD9889B" w14:textId="77777777" w:rsidR="00BB4AD7" w:rsidRDefault="002D015B">
      <w:pPr>
        <w:pStyle w:val="ListParagraph"/>
        <w:numPr>
          <w:ilvl w:val="0"/>
          <w:numId w:val="3"/>
        </w:numPr>
        <w:tabs>
          <w:tab w:val="left" w:pos="840"/>
          <w:tab w:val="left" w:pos="841"/>
        </w:tabs>
        <w:spacing w:before="121"/>
        <w:ind w:hanging="361"/>
      </w:pPr>
      <w:r>
        <w:t>Quantity of</w:t>
      </w:r>
      <w:r>
        <w:rPr>
          <w:spacing w:val="1"/>
        </w:rPr>
        <w:t xml:space="preserve"> </w:t>
      </w:r>
      <w:r>
        <w:t>VFDs</w:t>
      </w:r>
    </w:p>
    <w:p w14:paraId="365A825E" w14:textId="77777777" w:rsidR="00BB4AD7" w:rsidRDefault="002D015B">
      <w:pPr>
        <w:pStyle w:val="ListParagraph"/>
        <w:numPr>
          <w:ilvl w:val="0"/>
          <w:numId w:val="3"/>
        </w:numPr>
        <w:tabs>
          <w:tab w:val="left" w:pos="840"/>
          <w:tab w:val="left" w:pos="841"/>
        </w:tabs>
        <w:ind w:hanging="361"/>
      </w:pPr>
      <w:r>
        <w:t>Type (well and/or</w:t>
      </w:r>
      <w:r>
        <w:rPr>
          <w:spacing w:val="-2"/>
        </w:rPr>
        <w:t xml:space="preserve"> </w:t>
      </w:r>
      <w:r>
        <w:t>booster)</w:t>
      </w:r>
    </w:p>
    <w:p w14:paraId="494824E4" w14:textId="77777777" w:rsidR="00BB4AD7" w:rsidRDefault="002D015B">
      <w:pPr>
        <w:pStyle w:val="ListParagraph"/>
        <w:numPr>
          <w:ilvl w:val="0"/>
          <w:numId w:val="3"/>
        </w:numPr>
        <w:tabs>
          <w:tab w:val="left" w:pos="840"/>
          <w:tab w:val="left" w:pos="841"/>
        </w:tabs>
        <w:spacing w:before="20"/>
        <w:ind w:hanging="361"/>
      </w:pPr>
      <w:r>
        <w:t>Horsepower rating of motor(s) and</w:t>
      </w:r>
      <w:r>
        <w:rPr>
          <w:spacing w:val="-3"/>
        </w:rPr>
        <w:t xml:space="preserve"> </w:t>
      </w:r>
      <w:r>
        <w:t>VFD(s)</w:t>
      </w:r>
    </w:p>
    <w:p w14:paraId="6FBC2960" w14:textId="77777777" w:rsidR="00BB4AD7" w:rsidRDefault="002D015B">
      <w:pPr>
        <w:pStyle w:val="ListParagraph"/>
        <w:numPr>
          <w:ilvl w:val="0"/>
          <w:numId w:val="3"/>
        </w:numPr>
        <w:tabs>
          <w:tab w:val="left" w:pos="840"/>
          <w:tab w:val="left" w:pos="841"/>
        </w:tabs>
        <w:ind w:hanging="361"/>
      </w:pPr>
      <w:r>
        <w:t>Area map showing physical location of</w:t>
      </w:r>
      <w:r>
        <w:rPr>
          <w:spacing w:val="-8"/>
        </w:rPr>
        <w:t xml:space="preserve"> </w:t>
      </w:r>
      <w:r>
        <w:t>pumps</w:t>
      </w:r>
    </w:p>
    <w:p w14:paraId="208C2CF5" w14:textId="77777777" w:rsidR="00BB4AD7" w:rsidRDefault="002D015B">
      <w:pPr>
        <w:pStyle w:val="ListParagraph"/>
        <w:numPr>
          <w:ilvl w:val="0"/>
          <w:numId w:val="3"/>
        </w:numPr>
        <w:tabs>
          <w:tab w:val="left" w:pos="840"/>
          <w:tab w:val="left" w:pos="841"/>
        </w:tabs>
        <w:spacing w:before="22"/>
        <w:ind w:hanging="361"/>
      </w:pPr>
      <w:r>
        <w:t>Manufacturer make/models of each VFD</w:t>
      </w:r>
      <w:r>
        <w:rPr>
          <w:spacing w:val="-4"/>
        </w:rPr>
        <w:t xml:space="preserve"> </w:t>
      </w:r>
      <w:r>
        <w:t>installed</w:t>
      </w:r>
    </w:p>
    <w:p w14:paraId="3CA567D4" w14:textId="77777777" w:rsidR="00BB4AD7" w:rsidRDefault="00BB4AD7">
      <w:pPr>
        <w:pStyle w:val="BodyText"/>
        <w:rPr>
          <w:sz w:val="26"/>
        </w:rPr>
      </w:pPr>
    </w:p>
    <w:p w14:paraId="308D0C07" w14:textId="77777777" w:rsidR="00BB4AD7" w:rsidRDefault="002D015B">
      <w:pPr>
        <w:spacing w:before="192"/>
        <w:ind w:left="120"/>
        <w:rPr>
          <w:i/>
        </w:rPr>
      </w:pPr>
      <w:r>
        <w:rPr>
          <w:i/>
          <w:color w:val="5F5F5F"/>
        </w:rPr>
        <w:t xml:space="preserve">Eligible Products </w:t>
      </w:r>
    </w:p>
    <w:p w14:paraId="2E13447B" w14:textId="77777777" w:rsidR="00BB4AD7" w:rsidRDefault="002D015B">
      <w:pPr>
        <w:pStyle w:val="BodyText"/>
        <w:spacing w:before="118"/>
        <w:ind w:left="120" w:right="723"/>
      </w:pPr>
      <w:r>
        <w:t>The variable frequency drive (VFD) must be used to adjust operation of a pump to meet flow/pressure requirements and not be used simply as a soft starter or for cavitation control.</w:t>
      </w:r>
    </w:p>
    <w:p w14:paraId="3436F7A7" w14:textId="77777777" w:rsidR="00BB4AD7" w:rsidRDefault="002D015B">
      <w:pPr>
        <w:pStyle w:val="BodyText"/>
        <w:spacing w:before="120"/>
        <w:ind w:left="120" w:right="801"/>
      </w:pPr>
      <w:r>
        <w:t>The pumping application must currently have the means to vary the pressure/flow (i.e. throttle valve, control valve, etc.).</w:t>
      </w:r>
    </w:p>
    <w:p w14:paraId="3BC79AC2" w14:textId="77777777" w:rsidR="00BB4AD7" w:rsidRDefault="002D015B">
      <w:pPr>
        <w:pStyle w:val="BodyText"/>
        <w:spacing w:before="121" w:line="348" w:lineRule="auto"/>
        <w:ind w:left="120" w:right="897"/>
      </w:pPr>
      <w:r>
        <w:t>The VFD must be installed on the pump motor with a minimum operation of 1,000 hours per year. The VFD must be installed on a pressurized irrigation system (no flood irrigation).</w:t>
      </w:r>
    </w:p>
    <w:p w14:paraId="7388DD30" w14:textId="77777777" w:rsidR="00BB4AD7" w:rsidRDefault="00BB4AD7">
      <w:pPr>
        <w:spacing w:line="348" w:lineRule="auto"/>
        <w:sectPr w:rsidR="00BB4AD7">
          <w:pgSz w:w="12240" w:h="15840"/>
          <w:pgMar w:top="1220" w:right="1040" w:bottom="1320" w:left="1320" w:header="858" w:footer="1129" w:gutter="0"/>
          <w:cols w:space="720"/>
        </w:sectPr>
      </w:pPr>
    </w:p>
    <w:p w14:paraId="649A7D09" w14:textId="77777777" w:rsidR="00BB4AD7" w:rsidRDefault="00BB4AD7">
      <w:pPr>
        <w:pStyle w:val="BodyText"/>
        <w:spacing w:before="4"/>
        <w:rPr>
          <w:sz w:val="18"/>
        </w:rPr>
      </w:pPr>
    </w:p>
    <w:p w14:paraId="15BBB330" w14:textId="77777777" w:rsidR="00BB4AD7" w:rsidRDefault="002D015B">
      <w:pPr>
        <w:pStyle w:val="BodyText"/>
        <w:spacing w:before="75"/>
        <w:ind w:left="120"/>
      </w:pPr>
      <w:r>
        <w:t>The VFD is recommended to meet requirements as specified by IEEE Standard 519</w:t>
      </w:r>
      <w:r>
        <w:rPr>
          <w:vertAlign w:val="superscript"/>
        </w:rPr>
        <w:t>TM</w:t>
      </w:r>
      <w:r>
        <w:t>-2014.</w:t>
      </w:r>
      <w:r>
        <w:rPr>
          <w:vertAlign w:val="superscript"/>
        </w:rPr>
        <w:t>4</w:t>
      </w:r>
    </w:p>
    <w:p w14:paraId="5CD60803" w14:textId="77777777" w:rsidR="00BB4AD7" w:rsidRDefault="002D015B">
      <w:pPr>
        <w:pStyle w:val="BodyText"/>
        <w:spacing w:before="120"/>
        <w:ind w:left="120" w:right="628"/>
      </w:pPr>
      <w:r>
        <w:t>The customer must have an existing electrically operated agricultural booster or well pump installed on site or plans to install a new agricultural booster or well pump.</w:t>
      </w:r>
    </w:p>
    <w:p w14:paraId="19FE312F" w14:textId="77777777" w:rsidR="00BB4AD7" w:rsidRDefault="002D015B">
      <w:pPr>
        <w:spacing w:before="121"/>
        <w:ind w:left="120"/>
        <w:rPr>
          <w:i/>
        </w:rPr>
      </w:pPr>
      <w:r>
        <w:rPr>
          <w:i/>
          <w:color w:val="5F5F5F"/>
        </w:rPr>
        <w:t xml:space="preserve"> </w:t>
      </w:r>
    </w:p>
    <w:p w14:paraId="47B1A699" w14:textId="77777777" w:rsidR="00BB4AD7" w:rsidRDefault="002D015B">
      <w:pPr>
        <w:spacing w:before="120"/>
        <w:ind w:left="120"/>
        <w:rPr>
          <w:i/>
        </w:rPr>
      </w:pPr>
      <w:r>
        <w:rPr>
          <w:i/>
          <w:color w:val="5F5F5F"/>
        </w:rPr>
        <w:t xml:space="preserve">Eligible Building Types </w:t>
      </w:r>
    </w:p>
    <w:p w14:paraId="05512336" w14:textId="77777777" w:rsidR="00BB4AD7" w:rsidRDefault="002D015B">
      <w:pPr>
        <w:pStyle w:val="BodyText"/>
        <w:spacing w:before="120"/>
        <w:ind w:left="120"/>
      </w:pPr>
      <w:r>
        <w:t>This measure is applicable for all existing and new commercial and agriculture facilities.</w:t>
      </w:r>
    </w:p>
    <w:p w14:paraId="14C08A1D" w14:textId="77777777" w:rsidR="00BB4AD7" w:rsidRDefault="00BB4AD7">
      <w:pPr>
        <w:pStyle w:val="BodyText"/>
      </w:pPr>
    </w:p>
    <w:p w14:paraId="397F368E" w14:textId="77777777" w:rsidR="00BB4AD7" w:rsidRDefault="00BB4AD7">
      <w:pPr>
        <w:pStyle w:val="BodyText"/>
        <w:spacing w:before="8"/>
        <w:rPr>
          <w:sz w:val="19"/>
        </w:rPr>
      </w:pPr>
    </w:p>
    <w:p w14:paraId="605CAC04" w14:textId="77777777" w:rsidR="00BB4AD7" w:rsidRDefault="002D015B">
      <w:pPr>
        <w:spacing w:before="1"/>
        <w:ind w:left="120"/>
        <w:rPr>
          <w:i/>
        </w:rPr>
      </w:pPr>
      <w:r>
        <w:rPr>
          <w:i/>
          <w:color w:val="5F5F5F"/>
        </w:rPr>
        <w:t xml:space="preserve">Eligible Climate Zones </w:t>
      </w:r>
    </w:p>
    <w:p w14:paraId="5E400BC3" w14:textId="77777777" w:rsidR="00BB4AD7" w:rsidRDefault="002D015B">
      <w:pPr>
        <w:pStyle w:val="BodyText"/>
        <w:spacing w:before="120"/>
        <w:ind w:left="120"/>
      </w:pPr>
      <w:r>
        <w:t>The measure is applicable in all California climate zones.</w:t>
      </w:r>
    </w:p>
    <w:p w14:paraId="5A1030C6" w14:textId="77777777" w:rsidR="00BB4AD7" w:rsidRDefault="00BB4AD7">
      <w:pPr>
        <w:pStyle w:val="BodyText"/>
      </w:pPr>
    </w:p>
    <w:p w14:paraId="3A2BFC37" w14:textId="77777777" w:rsidR="00BB4AD7" w:rsidRDefault="00BB4AD7">
      <w:pPr>
        <w:pStyle w:val="BodyText"/>
        <w:spacing w:before="6"/>
        <w:rPr>
          <w:sz w:val="20"/>
        </w:rPr>
      </w:pPr>
    </w:p>
    <w:p w14:paraId="44778D1E" w14:textId="77777777" w:rsidR="00BB4AD7" w:rsidRDefault="002D015B">
      <w:pPr>
        <w:pStyle w:val="Heading1"/>
        <w:spacing w:before="1"/>
      </w:pPr>
      <w:bookmarkStart w:id="8" w:name="_Toc58850236"/>
      <w:r>
        <w:rPr>
          <w:color w:val="CFAB79"/>
        </w:rPr>
        <w:t>PROGRAM EXCLUSIONS</w:t>
      </w:r>
      <w:bookmarkEnd w:id="8"/>
    </w:p>
    <w:p w14:paraId="396D8826" w14:textId="77777777" w:rsidR="00BB4AD7" w:rsidRDefault="002D015B">
      <w:pPr>
        <w:pStyle w:val="BodyText"/>
        <w:spacing w:before="115"/>
        <w:ind w:left="120"/>
      </w:pPr>
      <w:r>
        <w:t>This measure cannot be used for the following pumping applications:</w:t>
      </w:r>
    </w:p>
    <w:p w14:paraId="3A0CE1E3" w14:textId="77777777" w:rsidR="00BB4AD7" w:rsidRDefault="002D015B">
      <w:pPr>
        <w:pStyle w:val="ListParagraph"/>
        <w:numPr>
          <w:ilvl w:val="0"/>
          <w:numId w:val="3"/>
        </w:numPr>
        <w:tabs>
          <w:tab w:val="left" w:pos="840"/>
          <w:tab w:val="left" w:pos="841"/>
        </w:tabs>
        <w:spacing w:before="120"/>
        <w:ind w:hanging="361"/>
      </w:pPr>
      <w:r>
        <w:t>A well pump used to fill a</w:t>
      </w:r>
      <w:r>
        <w:rPr>
          <w:spacing w:val="-4"/>
        </w:rPr>
        <w:t xml:space="preserve"> </w:t>
      </w:r>
      <w:r>
        <w:t>reservoir,</w:t>
      </w:r>
    </w:p>
    <w:p w14:paraId="1B429144" w14:textId="77777777" w:rsidR="00BB4AD7" w:rsidRDefault="002D015B">
      <w:pPr>
        <w:pStyle w:val="ListParagraph"/>
        <w:numPr>
          <w:ilvl w:val="0"/>
          <w:numId w:val="3"/>
        </w:numPr>
        <w:tabs>
          <w:tab w:val="left" w:pos="840"/>
          <w:tab w:val="left" w:pos="841"/>
        </w:tabs>
        <w:ind w:hanging="361"/>
      </w:pPr>
      <w:r>
        <w:t>A well pump discharging directly into a canal,</w:t>
      </w:r>
      <w:r>
        <w:rPr>
          <w:spacing w:val="-7"/>
        </w:rPr>
        <w:t xml:space="preserve"> </w:t>
      </w:r>
      <w:r>
        <w:t>and/or</w:t>
      </w:r>
    </w:p>
    <w:p w14:paraId="63CBA256" w14:textId="77777777" w:rsidR="00BB4AD7" w:rsidRDefault="002D015B">
      <w:pPr>
        <w:pStyle w:val="ListParagraph"/>
        <w:numPr>
          <w:ilvl w:val="0"/>
          <w:numId w:val="3"/>
        </w:numPr>
        <w:tabs>
          <w:tab w:val="left" w:pos="840"/>
          <w:tab w:val="left" w:pos="841"/>
        </w:tabs>
        <w:spacing w:before="22"/>
        <w:ind w:hanging="361"/>
      </w:pPr>
      <w:r>
        <w:t>A mixed flow pump (high volume, low</w:t>
      </w:r>
      <w:r>
        <w:rPr>
          <w:spacing w:val="-7"/>
        </w:rPr>
        <w:t xml:space="preserve"> </w:t>
      </w:r>
      <w:r>
        <w:t>head).</w:t>
      </w:r>
    </w:p>
    <w:p w14:paraId="161FA5C5" w14:textId="77777777" w:rsidR="00BB4AD7" w:rsidRDefault="00BB4AD7">
      <w:pPr>
        <w:pStyle w:val="BodyText"/>
        <w:rPr>
          <w:sz w:val="26"/>
        </w:rPr>
      </w:pPr>
    </w:p>
    <w:p w14:paraId="572738F4" w14:textId="77777777" w:rsidR="00BB4AD7" w:rsidRDefault="002D015B">
      <w:pPr>
        <w:pStyle w:val="Heading1"/>
        <w:spacing w:before="201"/>
      </w:pPr>
      <w:bookmarkStart w:id="9" w:name="_Toc58850237"/>
      <w:r>
        <w:rPr>
          <w:color w:val="CFAB79"/>
        </w:rPr>
        <w:t>DATA COLLECTION REQUIREMENTS</w:t>
      </w:r>
      <w:bookmarkEnd w:id="9"/>
    </w:p>
    <w:p w14:paraId="16C0BFEF" w14:textId="77777777" w:rsidR="00BB4AD7" w:rsidRDefault="002D015B">
      <w:pPr>
        <w:pStyle w:val="BodyText"/>
        <w:spacing w:before="115"/>
        <w:ind w:left="120"/>
      </w:pPr>
      <w:r>
        <w:t>Data collection requirements are to be determined.</w:t>
      </w:r>
    </w:p>
    <w:p w14:paraId="7B8FFEC0" w14:textId="77777777" w:rsidR="00BB4AD7" w:rsidRDefault="00BB4AD7">
      <w:pPr>
        <w:pStyle w:val="BodyText"/>
      </w:pPr>
    </w:p>
    <w:p w14:paraId="5E2CFE2A" w14:textId="77777777" w:rsidR="00BB4AD7" w:rsidRDefault="00BB4AD7">
      <w:pPr>
        <w:pStyle w:val="BodyText"/>
        <w:spacing w:before="9"/>
        <w:rPr>
          <w:sz w:val="20"/>
        </w:rPr>
      </w:pPr>
    </w:p>
    <w:p w14:paraId="7F1F792E" w14:textId="77777777" w:rsidR="00BB4AD7" w:rsidRDefault="002D015B">
      <w:pPr>
        <w:pStyle w:val="Heading1"/>
      </w:pPr>
      <w:bookmarkStart w:id="10" w:name="_Toc58850238"/>
      <w:r>
        <w:rPr>
          <w:color w:val="CFAB79"/>
        </w:rPr>
        <w:t>USE CATEGORY</w:t>
      </w:r>
      <w:bookmarkEnd w:id="10"/>
    </w:p>
    <w:p w14:paraId="7578D770" w14:textId="77777777" w:rsidR="00BB4AD7" w:rsidRDefault="002D015B">
      <w:pPr>
        <w:pStyle w:val="BodyText"/>
        <w:spacing w:before="115"/>
        <w:ind w:left="120"/>
      </w:pPr>
      <w:r>
        <w:t>Water pumping &amp; irrigation</w:t>
      </w:r>
    </w:p>
    <w:p w14:paraId="37EDDC19" w14:textId="77777777" w:rsidR="00BB4AD7" w:rsidRDefault="00BB4AD7">
      <w:pPr>
        <w:pStyle w:val="BodyText"/>
      </w:pPr>
    </w:p>
    <w:p w14:paraId="3B218107" w14:textId="77777777" w:rsidR="00BB4AD7" w:rsidRDefault="00BB4AD7">
      <w:pPr>
        <w:pStyle w:val="BodyText"/>
        <w:spacing w:before="8"/>
        <w:rPr>
          <w:sz w:val="20"/>
        </w:rPr>
      </w:pPr>
    </w:p>
    <w:p w14:paraId="0F5FAA22" w14:textId="77777777" w:rsidR="00BB4AD7" w:rsidRDefault="002D015B">
      <w:pPr>
        <w:pStyle w:val="Heading1"/>
        <w:spacing w:before="1"/>
      </w:pPr>
      <w:bookmarkStart w:id="11" w:name="_Toc58850239"/>
      <w:r>
        <w:rPr>
          <w:color w:val="CFAB79"/>
        </w:rPr>
        <w:t>ELECTRIC SAVINGS (kWh)</w:t>
      </w:r>
      <w:bookmarkEnd w:id="11"/>
    </w:p>
    <w:p w14:paraId="640EA3DB" w14:textId="77777777" w:rsidR="00BB4AD7" w:rsidRDefault="002D015B">
      <w:pPr>
        <w:pStyle w:val="BodyText"/>
        <w:spacing w:before="115"/>
        <w:ind w:left="120" w:right="956"/>
      </w:pPr>
      <w:r>
        <w:t>Based upon a standard hydraulic horsepower equation, the electric unit energy savings (UES) of the installation of a VFD on an agricultural irrigation pump is calculated as the following:</w:t>
      </w:r>
    </w:p>
    <w:p w14:paraId="20B0E9AB" w14:textId="77777777" w:rsidR="00BB4AD7" w:rsidRDefault="002D015B">
      <w:pPr>
        <w:spacing w:before="120"/>
        <w:ind w:left="571"/>
        <w:rPr>
          <w:rFonts w:ascii="Cambria Math" w:hAnsi="Cambria Math"/>
          <w:i/>
          <w:sz w:val="12"/>
        </w:rPr>
      </w:pPr>
      <w:r>
        <w:rPr>
          <w:rFonts w:ascii="Cambria Math" w:hAnsi="Cambria Math"/>
          <w:i/>
          <w:position w:val="1"/>
          <w:sz w:val="19"/>
        </w:rPr>
        <w:t>UES = ∑ [(Q</w:t>
      </w:r>
      <w:r>
        <w:rPr>
          <w:rFonts w:ascii="Cambria Math" w:hAnsi="Cambria Math"/>
          <w:i/>
          <w:sz w:val="12"/>
        </w:rPr>
        <w:t xml:space="preserve">i </w:t>
      </w:r>
      <w:r>
        <w:rPr>
          <w:rFonts w:ascii="Cambria Math" w:hAnsi="Cambria Math"/>
          <w:i/>
          <w:position w:val="1"/>
          <w:sz w:val="19"/>
        </w:rPr>
        <w:t>× TDH</w:t>
      </w:r>
      <w:r>
        <w:rPr>
          <w:rFonts w:ascii="Cambria Math" w:hAnsi="Cambria Math"/>
          <w:i/>
          <w:sz w:val="12"/>
        </w:rPr>
        <w:t xml:space="preserve">i </w:t>
      </w:r>
      <w:r>
        <w:rPr>
          <w:rFonts w:ascii="Cambria Math" w:hAnsi="Cambria Math"/>
          <w:i/>
          <w:position w:val="1"/>
          <w:sz w:val="19"/>
        </w:rPr>
        <w:t>× OH</w:t>
      </w:r>
      <w:r>
        <w:rPr>
          <w:rFonts w:ascii="Cambria Math" w:hAnsi="Cambria Math"/>
          <w:i/>
          <w:sz w:val="12"/>
        </w:rPr>
        <w:t>i</w:t>
      </w:r>
      <w:r>
        <w:rPr>
          <w:rFonts w:ascii="Cambria Math" w:hAnsi="Cambria Math"/>
          <w:i/>
          <w:position w:val="1"/>
          <w:sz w:val="19"/>
        </w:rPr>
        <w:t>/EFF</w:t>
      </w:r>
      <w:r>
        <w:rPr>
          <w:rFonts w:ascii="Cambria Math" w:hAnsi="Cambria Math"/>
          <w:i/>
          <w:sz w:val="12"/>
        </w:rPr>
        <w:t xml:space="preserve">pi </w:t>
      </w:r>
      <w:r>
        <w:rPr>
          <w:rFonts w:ascii="Cambria Math" w:hAnsi="Cambria Math"/>
          <w:i/>
          <w:position w:val="1"/>
          <w:sz w:val="19"/>
        </w:rPr>
        <w:t>× EFF</w:t>
      </w:r>
      <w:r>
        <w:rPr>
          <w:rFonts w:ascii="Cambria Math" w:hAnsi="Cambria Math"/>
          <w:i/>
          <w:sz w:val="12"/>
        </w:rPr>
        <w:t>m</w:t>
      </w:r>
      <w:r>
        <w:rPr>
          <w:rFonts w:ascii="Cambria Math" w:hAnsi="Cambria Math"/>
          <w:i/>
          <w:position w:val="1"/>
          <w:sz w:val="19"/>
        </w:rPr>
        <w:t>) × C</w:t>
      </w:r>
      <w:r>
        <w:rPr>
          <w:rFonts w:ascii="Cambria Math" w:hAnsi="Cambria Math"/>
          <w:i/>
          <w:sz w:val="12"/>
        </w:rPr>
        <w:t xml:space="preserve">1 </w:t>
      </w:r>
      <w:r>
        <w:rPr>
          <w:rFonts w:ascii="Cambria Math" w:hAnsi="Cambria Math"/>
          <w:i/>
          <w:position w:val="1"/>
          <w:sz w:val="19"/>
        </w:rPr>
        <w:t>/ C</w:t>
      </w:r>
      <w:r>
        <w:rPr>
          <w:rFonts w:ascii="Cambria Math" w:hAnsi="Cambria Math"/>
          <w:i/>
          <w:sz w:val="12"/>
        </w:rPr>
        <w:t>2</w:t>
      </w:r>
      <w:r>
        <w:rPr>
          <w:rFonts w:ascii="Cambria Math" w:hAnsi="Cambria Math"/>
          <w:i/>
          <w:position w:val="1"/>
          <w:sz w:val="19"/>
        </w:rPr>
        <w:t>]</w:t>
      </w:r>
      <w:r>
        <w:rPr>
          <w:rFonts w:ascii="Cambria Math" w:hAnsi="Cambria Math"/>
          <w:i/>
          <w:sz w:val="12"/>
        </w:rPr>
        <w:t xml:space="preserve">throttle </w:t>
      </w:r>
      <w:r>
        <w:rPr>
          <w:rFonts w:ascii="Cambria Math" w:hAnsi="Cambria Math"/>
          <w:i/>
          <w:position w:val="1"/>
          <w:sz w:val="19"/>
        </w:rPr>
        <w:t>- ∑ [(Q</w:t>
      </w:r>
      <w:r>
        <w:rPr>
          <w:rFonts w:ascii="Cambria Math" w:hAnsi="Cambria Math"/>
          <w:i/>
          <w:sz w:val="12"/>
        </w:rPr>
        <w:t xml:space="preserve">i </w:t>
      </w:r>
      <w:r>
        <w:rPr>
          <w:rFonts w:ascii="Cambria Math" w:hAnsi="Cambria Math"/>
          <w:i/>
          <w:position w:val="1"/>
          <w:sz w:val="19"/>
        </w:rPr>
        <w:t>× TDH</w:t>
      </w:r>
      <w:r>
        <w:rPr>
          <w:rFonts w:ascii="Cambria Math" w:hAnsi="Cambria Math"/>
          <w:i/>
          <w:sz w:val="12"/>
        </w:rPr>
        <w:t xml:space="preserve">i </w:t>
      </w:r>
      <w:r>
        <w:rPr>
          <w:rFonts w:ascii="Cambria Math" w:hAnsi="Cambria Math"/>
          <w:i/>
          <w:position w:val="1"/>
          <w:sz w:val="19"/>
        </w:rPr>
        <w:t>× OH</w:t>
      </w:r>
      <w:r>
        <w:rPr>
          <w:rFonts w:ascii="Cambria Math" w:hAnsi="Cambria Math"/>
          <w:i/>
          <w:sz w:val="12"/>
        </w:rPr>
        <w:t>i</w:t>
      </w:r>
      <w:r>
        <w:rPr>
          <w:rFonts w:ascii="Cambria Math" w:hAnsi="Cambria Math"/>
          <w:i/>
          <w:position w:val="1"/>
          <w:sz w:val="19"/>
        </w:rPr>
        <w:t>/EFF</w:t>
      </w:r>
      <w:r>
        <w:rPr>
          <w:rFonts w:ascii="Cambria Math" w:hAnsi="Cambria Math"/>
          <w:i/>
          <w:sz w:val="12"/>
        </w:rPr>
        <w:t xml:space="preserve">pi </w:t>
      </w:r>
      <w:r>
        <w:rPr>
          <w:rFonts w:ascii="Cambria Math" w:hAnsi="Cambria Math"/>
          <w:i/>
          <w:position w:val="1"/>
          <w:sz w:val="19"/>
        </w:rPr>
        <w:t>× EFF</w:t>
      </w:r>
      <w:r>
        <w:rPr>
          <w:rFonts w:ascii="Cambria Math" w:hAnsi="Cambria Math"/>
          <w:i/>
          <w:sz w:val="12"/>
        </w:rPr>
        <w:t xml:space="preserve">vfd </w:t>
      </w:r>
      <w:r>
        <w:rPr>
          <w:rFonts w:ascii="Cambria Math" w:hAnsi="Cambria Math"/>
          <w:i/>
          <w:position w:val="1"/>
          <w:sz w:val="19"/>
        </w:rPr>
        <w:t>× EFF</w:t>
      </w:r>
      <w:r>
        <w:rPr>
          <w:rFonts w:ascii="Cambria Math" w:hAnsi="Cambria Math"/>
          <w:i/>
          <w:sz w:val="12"/>
        </w:rPr>
        <w:t>m</w:t>
      </w:r>
      <w:r>
        <w:rPr>
          <w:rFonts w:ascii="Cambria Math" w:hAnsi="Cambria Math"/>
          <w:i/>
          <w:position w:val="1"/>
          <w:sz w:val="19"/>
        </w:rPr>
        <w:t>) × C</w:t>
      </w:r>
      <w:r>
        <w:rPr>
          <w:rFonts w:ascii="Cambria Math" w:hAnsi="Cambria Math"/>
          <w:i/>
          <w:sz w:val="12"/>
        </w:rPr>
        <w:t xml:space="preserve">1 </w:t>
      </w:r>
      <w:r>
        <w:rPr>
          <w:rFonts w:ascii="Cambria Math" w:hAnsi="Cambria Math"/>
          <w:i/>
          <w:position w:val="1"/>
          <w:sz w:val="19"/>
        </w:rPr>
        <w:t>/ C</w:t>
      </w:r>
      <w:r>
        <w:rPr>
          <w:rFonts w:ascii="Cambria Math" w:hAnsi="Cambria Math"/>
          <w:i/>
          <w:sz w:val="12"/>
        </w:rPr>
        <w:t>2</w:t>
      </w:r>
      <w:r>
        <w:rPr>
          <w:rFonts w:ascii="Cambria Math" w:hAnsi="Cambria Math"/>
          <w:i/>
          <w:position w:val="1"/>
          <w:sz w:val="19"/>
        </w:rPr>
        <w:t>]</w:t>
      </w:r>
      <w:r>
        <w:rPr>
          <w:rFonts w:ascii="Cambria Math" w:hAnsi="Cambria Math"/>
          <w:i/>
          <w:sz w:val="12"/>
        </w:rPr>
        <w:t>vfd</w:t>
      </w:r>
    </w:p>
    <w:p w14:paraId="3E01082F" w14:textId="77777777" w:rsidR="00BB4AD7" w:rsidRDefault="00BB4AD7">
      <w:pPr>
        <w:pStyle w:val="BodyText"/>
        <w:rPr>
          <w:rFonts w:ascii="Cambria Math"/>
          <w:i/>
          <w:sz w:val="18"/>
        </w:rPr>
      </w:pPr>
    </w:p>
    <w:p w14:paraId="48A3BC5B" w14:textId="77777777" w:rsidR="00BB4AD7" w:rsidRDefault="002D015B">
      <w:pPr>
        <w:tabs>
          <w:tab w:val="left" w:pos="2100"/>
        </w:tabs>
        <w:spacing w:before="147" w:line="259" w:lineRule="auto"/>
        <w:ind w:left="1200" w:right="5113"/>
        <w:rPr>
          <w:rFonts w:ascii="Cambria Math"/>
          <w:i/>
          <w:sz w:val="19"/>
        </w:rPr>
      </w:pPr>
      <w:r>
        <w:rPr>
          <w:rFonts w:ascii="Cambria Math"/>
          <w:i/>
          <w:sz w:val="19"/>
        </w:rPr>
        <w:t>UES</w:t>
      </w:r>
      <w:r>
        <w:rPr>
          <w:rFonts w:ascii="Cambria Math"/>
          <w:i/>
          <w:spacing w:val="-9"/>
          <w:sz w:val="19"/>
        </w:rPr>
        <w:t xml:space="preserve"> </w:t>
      </w:r>
      <w:r>
        <w:rPr>
          <w:rFonts w:ascii="Cambria Math"/>
          <w:i/>
          <w:sz w:val="19"/>
        </w:rPr>
        <w:t>=</w:t>
      </w:r>
      <w:r>
        <w:rPr>
          <w:rFonts w:ascii="Cambria Math"/>
          <w:i/>
          <w:sz w:val="19"/>
        </w:rPr>
        <w:tab/>
      </w:r>
      <w:r>
        <w:rPr>
          <w:rFonts w:ascii="Cambria Math"/>
          <w:i/>
          <w:w w:val="95"/>
          <w:sz w:val="19"/>
        </w:rPr>
        <w:t>Electric unit energy savings</w:t>
      </w:r>
      <w:r>
        <w:rPr>
          <w:rFonts w:ascii="Cambria Math"/>
          <w:i/>
          <w:spacing w:val="-22"/>
          <w:w w:val="95"/>
          <w:sz w:val="19"/>
        </w:rPr>
        <w:t xml:space="preserve"> </w:t>
      </w:r>
      <w:r>
        <w:rPr>
          <w:rFonts w:ascii="Cambria Math"/>
          <w:i/>
          <w:w w:val="95"/>
          <w:sz w:val="19"/>
        </w:rPr>
        <w:t xml:space="preserve">(kWh) </w:t>
      </w:r>
      <w:r>
        <w:rPr>
          <w:rFonts w:ascii="Cambria Math"/>
          <w:i/>
          <w:position w:val="1"/>
          <w:sz w:val="19"/>
        </w:rPr>
        <w:t>Q</w:t>
      </w:r>
      <w:r>
        <w:rPr>
          <w:rFonts w:ascii="Cambria Math"/>
          <w:i/>
          <w:sz w:val="12"/>
        </w:rPr>
        <w:t>i</w:t>
      </w:r>
      <w:r>
        <w:rPr>
          <w:rFonts w:ascii="Cambria Math"/>
          <w:i/>
          <w:spacing w:val="-3"/>
          <w:sz w:val="12"/>
        </w:rPr>
        <w:t xml:space="preserve"> </w:t>
      </w:r>
      <w:r>
        <w:rPr>
          <w:rFonts w:ascii="Cambria Math"/>
          <w:i/>
          <w:position w:val="1"/>
          <w:sz w:val="19"/>
        </w:rPr>
        <w:t>=</w:t>
      </w:r>
      <w:r>
        <w:rPr>
          <w:rFonts w:ascii="Cambria Math"/>
          <w:i/>
          <w:position w:val="1"/>
          <w:sz w:val="19"/>
        </w:rPr>
        <w:tab/>
        <w:t>Flow</w:t>
      </w:r>
      <w:r>
        <w:rPr>
          <w:rFonts w:ascii="Cambria Math"/>
          <w:i/>
          <w:spacing w:val="-8"/>
          <w:position w:val="1"/>
          <w:sz w:val="19"/>
        </w:rPr>
        <w:t xml:space="preserve"> </w:t>
      </w:r>
      <w:r>
        <w:rPr>
          <w:rFonts w:ascii="Cambria Math"/>
          <w:i/>
          <w:position w:val="1"/>
          <w:sz w:val="19"/>
        </w:rPr>
        <w:t>for</w:t>
      </w:r>
      <w:r>
        <w:rPr>
          <w:rFonts w:ascii="Cambria Math"/>
          <w:i/>
          <w:spacing w:val="-7"/>
          <w:position w:val="1"/>
          <w:sz w:val="19"/>
        </w:rPr>
        <w:t xml:space="preserve"> </w:t>
      </w:r>
      <w:r>
        <w:rPr>
          <w:rFonts w:ascii="Cambria Math"/>
          <w:i/>
          <w:position w:val="1"/>
          <w:sz w:val="19"/>
        </w:rPr>
        <w:t>each</w:t>
      </w:r>
      <w:r>
        <w:rPr>
          <w:rFonts w:ascii="Cambria Math"/>
          <w:i/>
          <w:spacing w:val="-10"/>
          <w:position w:val="1"/>
          <w:sz w:val="19"/>
        </w:rPr>
        <w:t xml:space="preserve"> </w:t>
      </w:r>
      <w:r>
        <w:rPr>
          <w:rFonts w:ascii="Cambria Math"/>
          <w:i/>
          <w:position w:val="1"/>
          <w:sz w:val="19"/>
        </w:rPr>
        <w:t>period</w:t>
      </w:r>
      <w:r>
        <w:rPr>
          <w:rFonts w:ascii="Cambria Math"/>
          <w:i/>
          <w:spacing w:val="-9"/>
          <w:position w:val="1"/>
          <w:sz w:val="19"/>
        </w:rPr>
        <w:t xml:space="preserve"> </w:t>
      </w:r>
      <w:r>
        <w:rPr>
          <w:rFonts w:ascii="Cambria Math"/>
          <w:i/>
          <w:position w:val="1"/>
          <w:sz w:val="19"/>
        </w:rPr>
        <w:t>(gpm)</w:t>
      </w:r>
    </w:p>
    <w:p w14:paraId="4C7DBB43" w14:textId="77777777" w:rsidR="00BB4AD7" w:rsidRDefault="002D015B">
      <w:pPr>
        <w:tabs>
          <w:tab w:val="left" w:pos="2100"/>
        </w:tabs>
        <w:spacing w:line="222" w:lineRule="exact"/>
        <w:ind w:left="1200"/>
        <w:rPr>
          <w:rFonts w:ascii="Cambria Math"/>
          <w:i/>
          <w:sz w:val="19"/>
        </w:rPr>
      </w:pPr>
      <w:r>
        <w:rPr>
          <w:rFonts w:ascii="Cambria Math"/>
          <w:i/>
          <w:position w:val="1"/>
          <w:sz w:val="19"/>
        </w:rPr>
        <w:t>TDH</w:t>
      </w:r>
      <w:r>
        <w:rPr>
          <w:rFonts w:ascii="Cambria Math"/>
          <w:i/>
          <w:sz w:val="12"/>
        </w:rPr>
        <w:t>i</w:t>
      </w:r>
      <w:r>
        <w:rPr>
          <w:rFonts w:ascii="Cambria Math"/>
          <w:i/>
          <w:spacing w:val="-6"/>
          <w:sz w:val="12"/>
        </w:rPr>
        <w:t xml:space="preserve"> </w:t>
      </w:r>
      <w:r>
        <w:rPr>
          <w:rFonts w:ascii="Cambria Math"/>
          <w:i/>
          <w:position w:val="1"/>
          <w:sz w:val="19"/>
        </w:rPr>
        <w:t>=</w:t>
      </w:r>
      <w:r>
        <w:rPr>
          <w:rFonts w:ascii="Cambria Math"/>
          <w:i/>
          <w:position w:val="1"/>
          <w:sz w:val="19"/>
        </w:rPr>
        <w:tab/>
        <w:t>Total head for each period</w:t>
      </w:r>
      <w:r>
        <w:rPr>
          <w:rFonts w:ascii="Cambria Math"/>
          <w:i/>
          <w:spacing w:val="-15"/>
          <w:position w:val="1"/>
          <w:sz w:val="19"/>
        </w:rPr>
        <w:t xml:space="preserve"> </w:t>
      </w:r>
      <w:r>
        <w:rPr>
          <w:rFonts w:ascii="Cambria Math"/>
          <w:i/>
          <w:position w:val="1"/>
          <w:sz w:val="19"/>
        </w:rPr>
        <w:t>(ft)</w:t>
      </w:r>
    </w:p>
    <w:p w14:paraId="0E85C8C4" w14:textId="77777777" w:rsidR="00BB4AD7" w:rsidRDefault="002D015B">
      <w:pPr>
        <w:tabs>
          <w:tab w:val="left" w:pos="2100"/>
        </w:tabs>
        <w:spacing w:before="17"/>
        <w:ind w:left="1200"/>
        <w:rPr>
          <w:rFonts w:ascii="Cambria Math"/>
          <w:i/>
          <w:sz w:val="19"/>
        </w:rPr>
      </w:pPr>
      <w:r>
        <w:rPr>
          <w:rFonts w:ascii="Cambria Math"/>
          <w:i/>
          <w:position w:val="1"/>
          <w:sz w:val="19"/>
        </w:rPr>
        <w:t>OH</w:t>
      </w:r>
      <w:r>
        <w:rPr>
          <w:rFonts w:ascii="Cambria Math"/>
          <w:i/>
          <w:sz w:val="12"/>
        </w:rPr>
        <w:t>i</w:t>
      </w:r>
      <w:r>
        <w:rPr>
          <w:rFonts w:ascii="Cambria Math"/>
          <w:i/>
          <w:spacing w:val="-5"/>
          <w:sz w:val="12"/>
        </w:rPr>
        <w:t xml:space="preserve"> </w:t>
      </w:r>
      <w:r>
        <w:rPr>
          <w:rFonts w:ascii="Cambria Math"/>
          <w:i/>
          <w:position w:val="1"/>
          <w:sz w:val="19"/>
        </w:rPr>
        <w:t>=</w:t>
      </w:r>
      <w:r>
        <w:rPr>
          <w:rFonts w:ascii="Cambria Math"/>
          <w:i/>
          <w:position w:val="1"/>
          <w:sz w:val="19"/>
        </w:rPr>
        <w:tab/>
        <w:t>Operating hour for each period</w:t>
      </w:r>
      <w:r>
        <w:rPr>
          <w:rFonts w:ascii="Cambria Math"/>
          <w:i/>
          <w:spacing w:val="-25"/>
          <w:position w:val="1"/>
          <w:sz w:val="19"/>
        </w:rPr>
        <w:t xml:space="preserve"> </w:t>
      </w:r>
      <w:r>
        <w:rPr>
          <w:rFonts w:ascii="Cambria Math"/>
          <w:i/>
          <w:position w:val="1"/>
          <w:sz w:val="19"/>
        </w:rPr>
        <w:t>(hr/yr)</w:t>
      </w:r>
    </w:p>
    <w:p w14:paraId="3D73CF5C" w14:textId="77777777" w:rsidR="00BB4AD7" w:rsidRDefault="002D015B">
      <w:pPr>
        <w:tabs>
          <w:tab w:val="left" w:pos="2100"/>
        </w:tabs>
        <w:spacing w:before="18" w:line="259" w:lineRule="auto"/>
        <w:ind w:left="1200" w:right="3283"/>
        <w:rPr>
          <w:rFonts w:ascii="Cambria Math"/>
          <w:i/>
          <w:sz w:val="19"/>
        </w:rPr>
      </w:pPr>
      <w:r>
        <w:rPr>
          <w:rFonts w:ascii="Cambria Math"/>
          <w:i/>
          <w:position w:val="1"/>
          <w:sz w:val="19"/>
        </w:rPr>
        <w:t>EFF</w:t>
      </w:r>
      <w:r>
        <w:rPr>
          <w:rFonts w:ascii="Cambria Math"/>
          <w:i/>
          <w:sz w:val="12"/>
        </w:rPr>
        <w:t>pi</w:t>
      </w:r>
      <w:r>
        <w:rPr>
          <w:rFonts w:ascii="Cambria Math"/>
          <w:i/>
          <w:spacing w:val="-6"/>
          <w:sz w:val="12"/>
        </w:rPr>
        <w:t xml:space="preserve"> </w:t>
      </w:r>
      <w:r>
        <w:rPr>
          <w:rFonts w:ascii="Cambria Math"/>
          <w:i/>
          <w:position w:val="1"/>
          <w:sz w:val="19"/>
        </w:rPr>
        <w:t>=</w:t>
      </w:r>
      <w:r>
        <w:rPr>
          <w:rFonts w:ascii="Cambria Math"/>
          <w:i/>
          <w:position w:val="1"/>
          <w:sz w:val="19"/>
        </w:rPr>
        <w:tab/>
      </w:r>
      <w:r>
        <w:rPr>
          <w:rFonts w:ascii="Cambria Math"/>
          <w:i/>
          <w:w w:val="95"/>
          <w:position w:val="1"/>
          <w:sz w:val="19"/>
        </w:rPr>
        <w:t>Pump efficiency under each operating condition (no</w:t>
      </w:r>
      <w:r>
        <w:rPr>
          <w:rFonts w:ascii="Cambria Math"/>
          <w:i/>
          <w:spacing w:val="-28"/>
          <w:w w:val="95"/>
          <w:position w:val="1"/>
          <w:sz w:val="19"/>
        </w:rPr>
        <w:t xml:space="preserve"> </w:t>
      </w:r>
      <w:r>
        <w:rPr>
          <w:rFonts w:ascii="Cambria Math"/>
          <w:i/>
          <w:w w:val="95"/>
          <w:position w:val="1"/>
          <w:sz w:val="19"/>
        </w:rPr>
        <w:t xml:space="preserve">units) </w:t>
      </w:r>
      <w:r>
        <w:rPr>
          <w:rFonts w:ascii="Cambria Math"/>
          <w:i/>
          <w:position w:val="1"/>
          <w:sz w:val="19"/>
        </w:rPr>
        <w:t>EFF</w:t>
      </w:r>
      <w:r>
        <w:rPr>
          <w:rFonts w:ascii="Cambria Math"/>
          <w:i/>
          <w:sz w:val="12"/>
        </w:rPr>
        <w:t>m</w:t>
      </w:r>
      <w:r>
        <w:rPr>
          <w:rFonts w:ascii="Cambria Math"/>
          <w:i/>
          <w:spacing w:val="-6"/>
          <w:sz w:val="12"/>
        </w:rPr>
        <w:t xml:space="preserve"> </w:t>
      </w:r>
      <w:r>
        <w:rPr>
          <w:rFonts w:ascii="Cambria Math"/>
          <w:i/>
          <w:position w:val="1"/>
          <w:sz w:val="19"/>
        </w:rPr>
        <w:t>=</w:t>
      </w:r>
      <w:r>
        <w:rPr>
          <w:rFonts w:ascii="Cambria Math"/>
          <w:i/>
          <w:position w:val="1"/>
          <w:sz w:val="19"/>
        </w:rPr>
        <w:tab/>
        <w:t>Motor efficiency (no</w:t>
      </w:r>
      <w:r>
        <w:rPr>
          <w:rFonts w:ascii="Cambria Math"/>
          <w:i/>
          <w:spacing w:val="-11"/>
          <w:position w:val="1"/>
          <w:sz w:val="19"/>
        </w:rPr>
        <w:t xml:space="preserve"> </w:t>
      </w:r>
      <w:r>
        <w:rPr>
          <w:rFonts w:ascii="Cambria Math"/>
          <w:i/>
          <w:position w:val="1"/>
          <w:sz w:val="19"/>
        </w:rPr>
        <w:t>units)</w:t>
      </w:r>
    </w:p>
    <w:p w14:paraId="1EE6D331" w14:textId="77777777" w:rsidR="00BB4AD7" w:rsidRDefault="00DF23AD">
      <w:pPr>
        <w:pStyle w:val="BodyText"/>
        <w:spacing w:before="3"/>
        <w:rPr>
          <w:rFonts w:ascii="Cambria Math"/>
          <w:i/>
          <w:sz w:val="26"/>
        </w:rPr>
      </w:pPr>
      <w:r>
        <w:pict w14:anchorId="1840BF51">
          <v:rect id="_x0000_s1029" style="position:absolute;margin-left:1in;margin-top:17.4pt;width:2in;height:.7pt;z-index:-15727104;mso-wrap-distance-left:0;mso-wrap-distance-right:0;mso-position-horizontal-relative:page" fillcolor="black" stroked="f">
            <w10:wrap type="topAndBottom" anchorx="page"/>
          </v:rect>
        </w:pict>
      </w:r>
    </w:p>
    <w:p w14:paraId="7E13EA98" w14:textId="77777777" w:rsidR="00BB4AD7" w:rsidRDefault="00BB4AD7">
      <w:pPr>
        <w:pStyle w:val="BodyText"/>
        <w:rPr>
          <w:rFonts w:ascii="Cambria Math"/>
          <w:i/>
          <w:sz w:val="20"/>
        </w:rPr>
      </w:pPr>
    </w:p>
    <w:p w14:paraId="5D1BB244" w14:textId="77777777" w:rsidR="00BB4AD7" w:rsidRDefault="00BB4AD7">
      <w:pPr>
        <w:pStyle w:val="BodyText"/>
        <w:spacing w:before="10"/>
        <w:rPr>
          <w:rFonts w:ascii="Cambria Math"/>
          <w:i/>
        </w:rPr>
      </w:pPr>
    </w:p>
    <w:p w14:paraId="0A92CE05" w14:textId="77777777" w:rsidR="00BB4AD7" w:rsidRDefault="002D015B">
      <w:pPr>
        <w:spacing w:before="71" w:line="254" w:lineRule="auto"/>
        <w:ind w:left="120" w:right="581"/>
        <w:rPr>
          <w:sz w:val="18"/>
        </w:rPr>
      </w:pPr>
      <w:r>
        <w:rPr>
          <w:position w:val="8"/>
          <w:sz w:val="14"/>
        </w:rPr>
        <w:t xml:space="preserve">4 </w:t>
      </w:r>
      <w:r>
        <w:rPr>
          <w:sz w:val="18"/>
        </w:rPr>
        <w:t xml:space="preserve">Institute of Electrical and Electronics Engineers (IEEE) Standards Association. 2014. </w:t>
      </w:r>
      <w:r>
        <w:rPr>
          <w:i/>
          <w:sz w:val="18"/>
        </w:rPr>
        <w:t xml:space="preserve">IEEE Recommended Practice and Requirements for Harmonic Control in Electric Power Systems. </w:t>
      </w:r>
      <w:r>
        <w:rPr>
          <w:sz w:val="18"/>
        </w:rPr>
        <w:t>IEEE Std. 519</w:t>
      </w:r>
      <w:r>
        <w:rPr>
          <w:position w:val="5"/>
          <w:sz w:val="12"/>
        </w:rPr>
        <w:t xml:space="preserve">TM </w:t>
      </w:r>
      <w:r>
        <w:rPr>
          <w:sz w:val="18"/>
        </w:rPr>
        <w:t>-2014. New York (NY): IEEE.</w:t>
      </w:r>
    </w:p>
    <w:p w14:paraId="3CF65E33" w14:textId="77777777" w:rsidR="00BB4AD7" w:rsidRDefault="00BB4AD7">
      <w:pPr>
        <w:spacing w:line="254" w:lineRule="auto"/>
        <w:rPr>
          <w:sz w:val="18"/>
        </w:rPr>
        <w:sectPr w:rsidR="00BB4AD7">
          <w:pgSz w:w="12240" w:h="15840"/>
          <w:pgMar w:top="1220" w:right="1040" w:bottom="1320" w:left="1320" w:header="858" w:footer="1129" w:gutter="0"/>
          <w:cols w:space="720"/>
        </w:sectPr>
      </w:pPr>
    </w:p>
    <w:p w14:paraId="52888FD6" w14:textId="77777777" w:rsidR="00BB4AD7" w:rsidRDefault="00BB4AD7">
      <w:pPr>
        <w:pStyle w:val="BodyText"/>
        <w:spacing w:before="11"/>
        <w:rPr>
          <w:sz w:val="18"/>
        </w:rPr>
      </w:pPr>
    </w:p>
    <w:p w14:paraId="5C02DF41" w14:textId="77777777" w:rsidR="00BB4AD7" w:rsidRDefault="002D015B">
      <w:pPr>
        <w:tabs>
          <w:tab w:val="left" w:pos="2100"/>
        </w:tabs>
        <w:spacing w:before="67" w:line="259" w:lineRule="auto"/>
        <w:ind w:left="1200" w:right="4101"/>
        <w:rPr>
          <w:rFonts w:ascii="Cambria Math"/>
          <w:i/>
          <w:sz w:val="19"/>
        </w:rPr>
      </w:pPr>
      <w:r>
        <w:rPr>
          <w:rFonts w:ascii="Cambria Math"/>
          <w:i/>
          <w:position w:val="1"/>
          <w:sz w:val="19"/>
        </w:rPr>
        <w:t>EFF</w:t>
      </w:r>
      <w:r>
        <w:rPr>
          <w:rFonts w:ascii="Cambria Math"/>
          <w:i/>
          <w:sz w:val="12"/>
        </w:rPr>
        <w:t>vfd</w:t>
      </w:r>
      <w:r>
        <w:rPr>
          <w:rFonts w:ascii="Cambria Math"/>
          <w:i/>
          <w:spacing w:val="-6"/>
          <w:sz w:val="12"/>
        </w:rPr>
        <w:t xml:space="preserve"> </w:t>
      </w:r>
      <w:r>
        <w:rPr>
          <w:rFonts w:ascii="Cambria Math"/>
          <w:i/>
          <w:position w:val="1"/>
          <w:sz w:val="19"/>
        </w:rPr>
        <w:t>=</w:t>
      </w:r>
      <w:r>
        <w:rPr>
          <w:rFonts w:ascii="Cambria Math"/>
          <w:i/>
          <w:position w:val="1"/>
          <w:sz w:val="19"/>
        </w:rPr>
        <w:tab/>
      </w:r>
      <w:r>
        <w:rPr>
          <w:rFonts w:ascii="Cambria Math"/>
          <w:i/>
          <w:w w:val="95"/>
          <w:position w:val="1"/>
          <w:sz w:val="19"/>
        </w:rPr>
        <w:t>Efficiency of variable frequency drive (no</w:t>
      </w:r>
      <w:r>
        <w:rPr>
          <w:rFonts w:ascii="Cambria Math"/>
          <w:i/>
          <w:spacing w:val="-25"/>
          <w:w w:val="95"/>
          <w:position w:val="1"/>
          <w:sz w:val="19"/>
        </w:rPr>
        <w:t xml:space="preserve"> </w:t>
      </w:r>
      <w:r>
        <w:rPr>
          <w:rFonts w:ascii="Cambria Math"/>
          <w:i/>
          <w:w w:val="95"/>
          <w:position w:val="1"/>
          <w:sz w:val="19"/>
        </w:rPr>
        <w:t xml:space="preserve">units) </w:t>
      </w:r>
      <w:r>
        <w:rPr>
          <w:rFonts w:ascii="Cambria Math"/>
          <w:i/>
          <w:position w:val="1"/>
          <w:sz w:val="19"/>
        </w:rPr>
        <w:t>C</w:t>
      </w:r>
      <w:r>
        <w:rPr>
          <w:rFonts w:ascii="Cambria Math"/>
          <w:i/>
          <w:sz w:val="12"/>
        </w:rPr>
        <w:t>1</w:t>
      </w:r>
      <w:r>
        <w:rPr>
          <w:rFonts w:ascii="Cambria Math"/>
          <w:i/>
          <w:spacing w:val="-3"/>
          <w:sz w:val="12"/>
        </w:rPr>
        <w:t xml:space="preserve"> </w:t>
      </w:r>
      <w:r>
        <w:rPr>
          <w:rFonts w:ascii="Cambria Math"/>
          <w:i/>
          <w:position w:val="1"/>
          <w:sz w:val="19"/>
        </w:rPr>
        <w:t>=</w:t>
      </w:r>
      <w:r>
        <w:rPr>
          <w:rFonts w:ascii="Cambria Math"/>
          <w:i/>
          <w:position w:val="1"/>
          <w:sz w:val="19"/>
        </w:rPr>
        <w:tab/>
        <w:t>conversion constant, 0.746</w:t>
      </w:r>
      <w:r>
        <w:rPr>
          <w:rFonts w:ascii="Cambria Math"/>
          <w:i/>
          <w:spacing w:val="-24"/>
          <w:position w:val="1"/>
          <w:sz w:val="19"/>
        </w:rPr>
        <w:t xml:space="preserve"> </w:t>
      </w:r>
      <w:r>
        <w:rPr>
          <w:rFonts w:ascii="Cambria Math"/>
          <w:i/>
          <w:position w:val="1"/>
          <w:sz w:val="19"/>
        </w:rPr>
        <w:t>kW/hp</w:t>
      </w:r>
    </w:p>
    <w:p w14:paraId="753BAAA2" w14:textId="77777777" w:rsidR="00BB4AD7" w:rsidRDefault="002D015B">
      <w:pPr>
        <w:tabs>
          <w:tab w:val="left" w:pos="2100"/>
        </w:tabs>
        <w:spacing w:line="259" w:lineRule="auto"/>
        <w:ind w:left="1200" w:right="4621"/>
        <w:rPr>
          <w:rFonts w:ascii="Cambria Math"/>
          <w:i/>
          <w:sz w:val="19"/>
        </w:rPr>
      </w:pPr>
      <w:r>
        <w:rPr>
          <w:rFonts w:ascii="Cambria Math"/>
          <w:i/>
          <w:position w:val="1"/>
          <w:sz w:val="19"/>
        </w:rPr>
        <w:t>C</w:t>
      </w:r>
      <w:r>
        <w:rPr>
          <w:rFonts w:ascii="Cambria Math"/>
          <w:i/>
          <w:sz w:val="12"/>
        </w:rPr>
        <w:t>2</w:t>
      </w:r>
      <w:r>
        <w:rPr>
          <w:rFonts w:ascii="Cambria Math"/>
          <w:i/>
          <w:spacing w:val="-3"/>
          <w:sz w:val="12"/>
        </w:rPr>
        <w:t xml:space="preserve"> </w:t>
      </w:r>
      <w:r>
        <w:rPr>
          <w:rFonts w:ascii="Cambria Math"/>
          <w:i/>
          <w:position w:val="1"/>
          <w:sz w:val="19"/>
        </w:rPr>
        <w:t>=</w:t>
      </w:r>
      <w:r>
        <w:rPr>
          <w:rFonts w:ascii="Cambria Math"/>
          <w:i/>
          <w:position w:val="1"/>
          <w:sz w:val="19"/>
        </w:rPr>
        <w:tab/>
      </w:r>
      <w:r>
        <w:rPr>
          <w:rFonts w:ascii="Cambria Math"/>
          <w:i/>
          <w:w w:val="95"/>
          <w:position w:val="1"/>
          <w:sz w:val="19"/>
        </w:rPr>
        <w:t>conversion constant, 3,956</w:t>
      </w:r>
      <w:r>
        <w:rPr>
          <w:rFonts w:ascii="Cambria Math"/>
          <w:i/>
          <w:spacing w:val="-19"/>
          <w:w w:val="95"/>
          <w:position w:val="1"/>
          <w:sz w:val="19"/>
        </w:rPr>
        <w:t xml:space="preserve"> </w:t>
      </w:r>
      <w:r>
        <w:rPr>
          <w:rFonts w:ascii="Cambria Math"/>
          <w:i/>
          <w:w w:val="95"/>
          <w:position w:val="1"/>
          <w:sz w:val="19"/>
        </w:rPr>
        <w:t xml:space="preserve">ft-gal/hp-min </w:t>
      </w:r>
      <w:r>
        <w:rPr>
          <w:rFonts w:ascii="Cambria Math"/>
          <w:i/>
          <w:sz w:val="19"/>
        </w:rPr>
        <w:t>throttle = Throttled condition</w:t>
      </w:r>
      <w:r>
        <w:rPr>
          <w:rFonts w:ascii="Cambria Math"/>
          <w:i/>
          <w:spacing w:val="6"/>
          <w:sz w:val="19"/>
        </w:rPr>
        <w:t xml:space="preserve"> </w:t>
      </w:r>
      <w:r>
        <w:rPr>
          <w:rFonts w:ascii="Cambria Math"/>
          <w:i/>
          <w:sz w:val="19"/>
        </w:rPr>
        <w:t>(baseline)</w:t>
      </w:r>
    </w:p>
    <w:p w14:paraId="0D0E09E2" w14:textId="77777777" w:rsidR="00BB4AD7" w:rsidRDefault="002D015B">
      <w:pPr>
        <w:tabs>
          <w:tab w:val="left" w:pos="2100"/>
        </w:tabs>
        <w:spacing w:line="222" w:lineRule="exact"/>
        <w:ind w:left="1200"/>
        <w:rPr>
          <w:rFonts w:ascii="Cambria Math"/>
          <w:i/>
          <w:sz w:val="19"/>
        </w:rPr>
      </w:pPr>
      <w:r>
        <w:rPr>
          <w:rFonts w:ascii="Cambria Math"/>
          <w:i/>
          <w:sz w:val="19"/>
        </w:rPr>
        <w:t>vfd</w:t>
      </w:r>
      <w:r>
        <w:rPr>
          <w:rFonts w:ascii="Cambria Math"/>
          <w:i/>
          <w:spacing w:val="-7"/>
          <w:sz w:val="19"/>
        </w:rPr>
        <w:t xml:space="preserve"> </w:t>
      </w:r>
      <w:r>
        <w:rPr>
          <w:rFonts w:ascii="Cambria Math"/>
          <w:i/>
          <w:sz w:val="19"/>
        </w:rPr>
        <w:t>=</w:t>
      </w:r>
      <w:r>
        <w:rPr>
          <w:rFonts w:ascii="Cambria Math"/>
          <w:i/>
          <w:sz w:val="19"/>
        </w:rPr>
        <w:tab/>
        <w:t>VFD control</w:t>
      </w:r>
      <w:r>
        <w:rPr>
          <w:rFonts w:ascii="Cambria Math"/>
          <w:i/>
          <w:spacing w:val="-4"/>
          <w:sz w:val="19"/>
        </w:rPr>
        <w:t xml:space="preserve"> </w:t>
      </w:r>
      <w:r>
        <w:rPr>
          <w:rFonts w:ascii="Cambria Math"/>
          <w:i/>
          <w:sz w:val="19"/>
        </w:rPr>
        <w:t>(proposed)</w:t>
      </w:r>
    </w:p>
    <w:p w14:paraId="6E9DCE7C" w14:textId="77777777" w:rsidR="00BB4AD7" w:rsidRDefault="00BB4AD7">
      <w:pPr>
        <w:pStyle w:val="BodyText"/>
        <w:rPr>
          <w:rFonts w:ascii="Cambria Math"/>
          <w:i/>
          <w:sz w:val="18"/>
        </w:rPr>
      </w:pPr>
    </w:p>
    <w:p w14:paraId="37074B68" w14:textId="77777777" w:rsidR="00BB4AD7" w:rsidRDefault="00BB4AD7">
      <w:pPr>
        <w:pStyle w:val="BodyText"/>
        <w:spacing w:before="2"/>
        <w:rPr>
          <w:rFonts w:ascii="Cambria Math"/>
          <w:i/>
          <w:sz w:val="25"/>
        </w:rPr>
      </w:pPr>
    </w:p>
    <w:p w14:paraId="2DE49F09" w14:textId="77777777" w:rsidR="00BB4AD7" w:rsidRDefault="002D015B">
      <w:pPr>
        <w:pStyle w:val="BodyText"/>
        <w:ind w:left="120" w:right="387"/>
      </w:pPr>
      <w:r>
        <w:t>Data to calculate the UES was drawn from Pacific Gas and Electric (PG&amp;E) projects for which VFDs were installed on agricultural pumps to determine the range in energy savings, demand reduction, implementation cost, and incentives. In particular, the PG&amp;E provided data on the installation of VFDs on agricultural irrigation pumps included data from 81 Non-Residential Retrofit (NRR) projects and over 300 Customized New Construction (CNC) projects. These data were analyzed and cleaned to develop final database for estimating the savings for VFDs on agricultural pumps. The projects retained for the overall analysis had sufficient data using similar calculation methodologies and aligned with the basic engineering methodology for such applications. The final VFD agriculture pump database</w:t>
      </w:r>
      <w:r>
        <w:rPr>
          <w:vertAlign w:val="superscript"/>
        </w:rPr>
        <w:t>5</w:t>
      </w:r>
      <w:r>
        <w:t xml:space="preserve"> included the following:</w:t>
      </w:r>
    </w:p>
    <w:p w14:paraId="36B5F656" w14:textId="77777777" w:rsidR="00BB4AD7" w:rsidRDefault="002D015B">
      <w:pPr>
        <w:pStyle w:val="ListParagraph"/>
        <w:numPr>
          <w:ilvl w:val="0"/>
          <w:numId w:val="1"/>
        </w:numPr>
        <w:tabs>
          <w:tab w:val="left" w:pos="840"/>
          <w:tab w:val="left" w:pos="841"/>
        </w:tabs>
        <w:spacing w:before="120"/>
        <w:ind w:right="442"/>
      </w:pPr>
      <w:r>
        <w:t>Well Pumps: 197 projects (combination of NRR and CNC projects) representing a total of 197 well pumps.</w:t>
      </w:r>
    </w:p>
    <w:p w14:paraId="7DB80174" w14:textId="77777777" w:rsidR="00BB4AD7" w:rsidRDefault="002D015B">
      <w:pPr>
        <w:pStyle w:val="ListParagraph"/>
        <w:numPr>
          <w:ilvl w:val="0"/>
          <w:numId w:val="1"/>
        </w:numPr>
        <w:tabs>
          <w:tab w:val="left" w:pos="840"/>
          <w:tab w:val="left" w:pos="841"/>
        </w:tabs>
        <w:spacing w:before="20"/>
        <w:ind w:right="729"/>
        <w:rPr>
          <w:i/>
        </w:rPr>
      </w:pPr>
      <w:r>
        <w:t>Booster Pumps: 99 projects (combination of NRR and CNC projects), representing a total of 99 booster</w:t>
      </w:r>
      <w:r>
        <w:rPr>
          <w:spacing w:val="-3"/>
        </w:rPr>
        <w:t xml:space="preserve"> </w:t>
      </w:r>
      <w:r>
        <w:t>pumps.</w:t>
      </w:r>
      <w:r>
        <w:rPr>
          <w:i/>
        </w:rPr>
        <w:t xml:space="preserve"> </w:t>
      </w:r>
    </w:p>
    <w:p w14:paraId="171CB288" w14:textId="77777777" w:rsidR="00BB4AD7" w:rsidRDefault="002D015B">
      <w:pPr>
        <w:pStyle w:val="BodyText"/>
        <w:spacing w:before="120"/>
        <w:ind w:left="120" w:right="516"/>
      </w:pPr>
      <w:r>
        <w:t>The following variables in the final VFD pump database were analyzed to quantify the UES resulting from installation of VFDs on well pumps and booster pumps:</w:t>
      </w:r>
    </w:p>
    <w:p w14:paraId="42F9DAC1" w14:textId="77777777" w:rsidR="00BB4AD7" w:rsidRDefault="002D015B">
      <w:pPr>
        <w:pStyle w:val="ListParagraph"/>
        <w:numPr>
          <w:ilvl w:val="0"/>
          <w:numId w:val="1"/>
        </w:numPr>
        <w:tabs>
          <w:tab w:val="left" w:pos="840"/>
          <w:tab w:val="left" w:pos="841"/>
        </w:tabs>
        <w:spacing w:before="121"/>
        <w:ind w:hanging="361"/>
      </w:pPr>
      <w:r>
        <w:t>Pump type</w:t>
      </w:r>
    </w:p>
    <w:p w14:paraId="064A05AB" w14:textId="77777777" w:rsidR="00BB4AD7" w:rsidRDefault="002D015B">
      <w:pPr>
        <w:pStyle w:val="ListParagraph"/>
        <w:numPr>
          <w:ilvl w:val="0"/>
          <w:numId w:val="1"/>
        </w:numPr>
        <w:tabs>
          <w:tab w:val="left" w:pos="840"/>
          <w:tab w:val="left" w:pos="841"/>
        </w:tabs>
        <w:ind w:hanging="361"/>
      </w:pPr>
      <w:r>
        <w:t>Number of pumps and pump size</w:t>
      </w:r>
      <w:r>
        <w:rPr>
          <w:spacing w:val="-4"/>
        </w:rPr>
        <w:t xml:space="preserve"> </w:t>
      </w:r>
      <w:r>
        <w:t>(hp)</w:t>
      </w:r>
    </w:p>
    <w:p w14:paraId="60C825A5" w14:textId="77777777" w:rsidR="00BB4AD7" w:rsidRDefault="002D015B">
      <w:pPr>
        <w:pStyle w:val="ListParagraph"/>
        <w:numPr>
          <w:ilvl w:val="0"/>
          <w:numId w:val="1"/>
        </w:numPr>
        <w:tabs>
          <w:tab w:val="left" w:pos="840"/>
          <w:tab w:val="left" w:pos="841"/>
        </w:tabs>
        <w:spacing w:before="20"/>
        <w:ind w:hanging="361"/>
      </w:pPr>
      <w:r>
        <w:t>Annual operating</w:t>
      </w:r>
      <w:r>
        <w:rPr>
          <w:spacing w:val="-5"/>
        </w:rPr>
        <w:t xml:space="preserve"> </w:t>
      </w:r>
      <w:r>
        <w:t>hours</w:t>
      </w:r>
    </w:p>
    <w:p w14:paraId="79591171" w14:textId="77777777" w:rsidR="00BB4AD7" w:rsidRDefault="002D015B">
      <w:pPr>
        <w:pStyle w:val="ListParagraph"/>
        <w:numPr>
          <w:ilvl w:val="0"/>
          <w:numId w:val="1"/>
        </w:numPr>
        <w:tabs>
          <w:tab w:val="left" w:pos="840"/>
          <w:tab w:val="left" w:pos="841"/>
        </w:tabs>
        <w:ind w:hanging="361"/>
      </w:pPr>
      <w:r>
        <w:t>Flow and pressure</w:t>
      </w:r>
      <w:r>
        <w:rPr>
          <w:spacing w:val="-4"/>
        </w:rPr>
        <w:t xml:space="preserve"> </w:t>
      </w:r>
      <w:r>
        <w:t>profiles</w:t>
      </w:r>
    </w:p>
    <w:p w14:paraId="68FF0878" w14:textId="77777777" w:rsidR="00BB4AD7" w:rsidRDefault="002D015B">
      <w:pPr>
        <w:pStyle w:val="ListParagraph"/>
        <w:numPr>
          <w:ilvl w:val="0"/>
          <w:numId w:val="1"/>
        </w:numPr>
        <w:tabs>
          <w:tab w:val="left" w:pos="840"/>
          <w:tab w:val="left" w:pos="841"/>
        </w:tabs>
        <w:spacing w:before="23"/>
        <w:ind w:hanging="361"/>
      </w:pPr>
      <w:r>
        <w:t>Pump efficiency</w:t>
      </w:r>
    </w:p>
    <w:p w14:paraId="1AF4DD81" w14:textId="77777777" w:rsidR="00BB4AD7" w:rsidRDefault="002D015B">
      <w:pPr>
        <w:pStyle w:val="BodyText"/>
        <w:spacing w:before="120"/>
        <w:ind w:left="120" w:right="409"/>
      </w:pPr>
      <w:r>
        <w:t>The type of crop that the irrigation pumps served was not available for the projects evaluated, only the annual operating hours. With a huge variation in operating hours and fields that served more than one type of crop, data was initially separated to two categories: deciduous and non-deciduous. The analysis of segregated data revealed similar averages as combining the data of both crop types together. Since facilities may irrigate both crop types, it was determined that combining the data of both crop types together for well pumps and for booster pumps would make it easier for the customer to apply for their rebate for this measure.</w:t>
      </w:r>
    </w:p>
    <w:p w14:paraId="3EE265A5" w14:textId="77777777" w:rsidR="00BB4AD7" w:rsidRDefault="002D015B">
      <w:pPr>
        <w:pStyle w:val="BodyText"/>
        <w:spacing w:before="119"/>
        <w:ind w:left="120" w:right="564"/>
      </w:pPr>
      <w:r>
        <w:t>The UES and demand reduction for each measure offering were calculated then the weighted averages were calculated based on the number of pump motors in each horsepower bin. Results were plotted to show pump horsepower versus kWh/hp to identify outliers (i.e., project(s) that were significantly off the linear curve.) The projects with significant variations (roughly 10% of the samples used) were removed from the analysis to ensure the distribution was representative of average</w:t>
      </w:r>
      <w:r>
        <w:rPr>
          <w:spacing w:val="-11"/>
        </w:rPr>
        <w:t xml:space="preserve"> </w:t>
      </w:r>
      <w:r>
        <w:t>conditions.</w:t>
      </w:r>
    </w:p>
    <w:p w14:paraId="0E62453C" w14:textId="77777777" w:rsidR="00BB4AD7" w:rsidRDefault="00BB4AD7">
      <w:pPr>
        <w:pStyle w:val="BodyText"/>
        <w:rPr>
          <w:sz w:val="20"/>
        </w:rPr>
      </w:pPr>
    </w:p>
    <w:p w14:paraId="6B06BD8D" w14:textId="77777777" w:rsidR="00BB4AD7" w:rsidRDefault="00BB4AD7">
      <w:pPr>
        <w:pStyle w:val="BodyText"/>
        <w:rPr>
          <w:sz w:val="20"/>
        </w:rPr>
      </w:pPr>
    </w:p>
    <w:p w14:paraId="7CA2B13F" w14:textId="77777777" w:rsidR="00BB4AD7" w:rsidRDefault="00BB4AD7">
      <w:pPr>
        <w:pStyle w:val="BodyText"/>
        <w:rPr>
          <w:sz w:val="20"/>
        </w:rPr>
      </w:pPr>
    </w:p>
    <w:p w14:paraId="0876B4CD" w14:textId="77777777" w:rsidR="00BB4AD7" w:rsidRDefault="00BB4AD7">
      <w:pPr>
        <w:pStyle w:val="BodyText"/>
        <w:rPr>
          <w:sz w:val="20"/>
        </w:rPr>
      </w:pPr>
    </w:p>
    <w:p w14:paraId="4D02DA23" w14:textId="77777777" w:rsidR="00BB4AD7" w:rsidRDefault="00BB4AD7">
      <w:pPr>
        <w:pStyle w:val="BodyText"/>
        <w:rPr>
          <w:sz w:val="20"/>
        </w:rPr>
      </w:pPr>
    </w:p>
    <w:p w14:paraId="01775D5D" w14:textId="77777777" w:rsidR="00BB4AD7" w:rsidRDefault="00BB4AD7">
      <w:pPr>
        <w:pStyle w:val="BodyText"/>
        <w:rPr>
          <w:sz w:val="20"/>
        </w:rPr>
      </w:pPr>
    </w:p>
    <w:p w14:paraId="5B457ACC" w14:textId="77777777" w:rsidR="00BB4AD7" w:rsidRDefault="00BB4AD7">
      <w:pPr>
        <w:pStyle w:val="BodyText"/>
        <w:spacing w:before="1"/>
        <w:rPr>
          <w:sz w:val="24"/>
        </w:rPr>
      </w:pPr>
    </w:p>
    <w:p w14:paraId="1384BEED" w14:textId="77777777" w:rsidR="00BB4AD7" w:rsidRDefault="002D015B">
      <w:pPr>
        <w:spacing w:before="69"/>
        <w:ind w:left="120"/>
        <w:rPr>
          <w:sz w:val="18"/>
        </w:rPr>
      </w:pPr>
      <w:r>
        <w:rPr>
          <w:position w:val="5"/>
          <w:sz w:val="12"/>
        </w:rPr>
        <w:t xml:space="preserve">5 </w:t>
      </w:r>
      <w:r>
        <w:rPr>
          <w:sz w:val="18"/>
        </w:rPr>
        <w:t>Pacific Gas &amp; Electric. 2017. “Attachment A_PGECOAGR119 R2 VFD on Agricultural Pumps</w:t>
      </w:r>
      <w:r>
        <w:rPr>
          <w:spacing w:val="-29"/>
          <w:sz w:val="18"/>
        </w:rPr>
        <w:t xml:space="preserve"> </w:t>
      </w:r>
      <w:r>
        <w:rPr>
          <w:sz w:val="18"/>
        </w:rPr>
        <w:t>Savings.xlsx.”</w:t>
      </w:r>
    </w:p>
    <w:p w14:paraId="60D4EE19" w14:textId="77777777" w:rsidR="00BB4AD7" w:rsidRDefault="00BB4AD7">
      <w:pPr>
        <w:rPr>
          <w:sz w:val="18"/>
        </w:rPr>
        <w:sectPr w:rsidR="00BB4AD7">
          <w:headerReference w:type="default" r:id="rId11"/>
          <w:footerReference w:type="default" r:id="rId12"/>
          <w:pgSz w:w="12240" w:h="15840"/>
          <w:pgMar w:top="1220" w:right="1040" w:bottom="1480" w:left="1320" w:header="858" w:footer="1281" w:gutter="0"/>
          <w:cols w:space="720"/>
        </w:sectPr>
      </w:pPr>
    </w:p>
    <w:p w14:paraId="63BF0FF8" w14:textId="77777777" w:rsidR="00BB4AD7" w:rsidRDefault="00BB4AD7">
      <w:pPr>
        <w:pStyle w:val="BodyText"/>
        <w:spacing w:before="3"/>
        <w:rPr>
          <w:sz w:val="21"/>
        </w:rPr>
      </w:pPr>
    </w:p>
    <w:p w14:paraId="33D48399" w14:textId="77777777" w:rsidR="00BB4AD7" w:rsidRDefault="002D015B">
      <w:pPr>
        <w:pStyle w:val="Heading1"/>
        <w:spacing w:before="51"/>
      </w:pPr>
      <w:bookmarkStart w:id="12" w:name="_Toc58850240"/>
      <w:r>
        <w:rPr>
          <w:color w:val="CFAB79"/>
        </w:rPr>
        <w:t>PEAK ELECTRIC DEMAND REDUCTION (kW)</w:t>
      </w:r>
      <w:bookmarkEnd w:id="12"/>
    </w:p>
    <w:p w14:paraId="7AC94AA3" w14:textId="77777777" w:rsidR="00BB4AD7" w:rsidRDefault="002D015B">
      <w:pPr>
        <w:pStyle w:val="BodyText"/>
        <w:spacing w:before="115"/>
        <w:ind w:left="120"/>
      </w:pPr>
      <w:r>
        <w:t>The average demand reduction for this measure was calculated as the following:</w:t>
      </w:r>
    </w:p>
    <w:p w14:paraId="1741490D" w14:textId="77777777" w:rsidR="00BB4AD7" w:rsidRDefault="002D015B">
      <w:pPr>
        <w:spacing w:before="120"/>
        <w:ind w:left="840"/>
        <w:rPr>
          <w:rFonts w:ascii="Cambria Math"/>
          <w:i/>
          <w:sz w:val="19"/>
        </w:rPr>
      </w:pPr>
      <w:r>
        <w:rPr>
          <w:rFonts w:ascii="Cambria Math"/>
          <w:i/>
          <w:position w:val="1"/>
          <w:sz w:val="19"/>
        </w:rPr>
        <w:t>DemandReduction</w:t>
      </w:r>
      <w:r>
        <w:rPr>
          <w:rFonts w:ascii="Cambria Math"/>
          <w:i/>
          <w:sz w:val="12"/>
        </w:rPr>
        <w:t xml:space="preserve">avg </w:t>
      </w:r>
      <w:r>
        <w:rPr>
          <w:rFonts w:ascii="Cambria Math"/>
          <w:i/>
          <w:position w:val="1"/>
          <w:sz w:val="19"/>
        </w:rPr>
        <w:t>= UES/ HOURS</w:t>
      </w:r>
    </w:p>
    <w:p w14:paraId="3E9C38B0" w14:textId="77777777" w:rsidR="00BB4AD7" w:rsidRDefault="002D015B">
      <w:pPr>
        <w:spacing w:before="118"/>
        <w:ind w:left="1560"/>
        <w:rPr>
          <w:rFonts w:ascii="Cambria Math"/>
          <w:i/>
          <w:sz w:val="19"/>
        </w:rPr>
      </w:pPr>
      <w:r>
        <w:rPr>
          <w:rFonts w:ascii="Cambria Math"/>
          <w:i/>
          <w:position w:val="1"/>
          <w:sz w:val="19"/>
        </w:rPr>
        <w:t>DemandReduction</w:t>
      </w:r>
      <w:r>
        <w:rPr>
          <w:rFonts w:ascii="Cambria Math"/>
          <w:i/>
          <w:sz w:val="12"/>
        </w:rPr>
        <w:t xml:space="preserve">avg </w:t>
      </w:r>
      <w:r>
        <w:rPr>
          <w:rFonts w:ascii="Cambria Math"/>
          <w:i/>
          <w:position w:val="1"/>
          <w:sz w:val="19"/>
        </w:rPr>
        <w:t>= Average demand reduction (kW)</w:t>
      </w:r>
    </w:p>
    <w:p w14:paraId="0A377DED" w14:textId="77777777" w:rsidR="00BB4AD7" w:rsidRDefault="002D015B">
      <w:pPr>
        <w:tabs>
          <w:tab w:val="left" w:pos="3540"/>
        </w:tabs>
        <w:spacing w:before="18"/>
        <w:ind w:left="1560"/>
        <w:rPr>
          <w:rFonts w:ascii="Cambria Math"/>
          <w:i/>
          <w:sz w:val="19"/>
        </w:rPr>
      </w:pPr>
      <w:r>
        <w:rPr>
          <w:rFonts w:ascii="Cambria Math"/>
          <w:i/>
          <w:sz w:val="19"/>
        </w:rPr>
        <w:t>UES</w:t>
      </w:r>
      <w:r>
        <w:rPr>
          <w:rFonts w:ascii="Cambria Math"/>
          <w:i/>
          <w:spacing w:val="-9"/>
          <w:sz w:val="19"/>
        </w:rPr>
        <w:t xml:space="preserve"> </w:t>
      </w:r>
      <w:r>
        <w:rPr>
          <w:rFonts w:ascii="Cambria Math"/>
          <w:i/>
          <w:sz w:val="19"/>
        </w:rPr>
        <w:t>=</w:t>
      </w:r>
      <w:r>
        <w:rPr>
          <w:rFonts w:ascii="Cambria Math"/>
          <w:i/>
          <w:sz w:val="19"/>
        </w:rPr>
        <w:tab/>
        <w:t>Annual electric unit energy savings</w:t>
      </w:r>
      <w:r>
        <w:rPr>
          <w:rFonts w:ascii="Cambria Math"/>
          <w:i/>
          <w:spacing w:val="-27"/>
          <w:sz w:val="19"/>
        </w:rPr>
        <w:t xml:space="preserve"> </w:t>
      </w:r>
      <w:r>
        <w:rPr>
          <w:rFonts w:ascii="Cambria Math"/>
          <w:i/>
          <w:sz w:val="19"/>
        </w:rPr>
        <w:t>(kWh/yr)</w:t>
      </w:r>
    </w:p>
    <w:p w14:paraId="0DE6933D" w14:textId="77777777" w:rsidR="00BB4AD7" w:rsidRDefault="002D015B">
      <w:pPr>
        <w:tabs>
          <w:tab w:val="left" w:pos="3540"/>
        </w:tabs>
        <w:spacing w:before="17"/>
        <w:ind w:left="1560"/>
        <w:rPr>
          <w:rFonts w:ascii="Cambria Math"/>
          <w:i/>
          <w:sz w:val="19"/>
        </w:rPr>
      </w:pPr>
      <w:r>
        <w:rPr>
          <w:rFonts w:ascii="Cambria Math"/>
          <w:i/>
          <w:sz w:val="19"/>
        </w:rPr>
        <w:t>HOURS=</w:t>
      </w:r>
      <w:r>
        <w:rPr>
          <w:rFonts w:ascii="Cambria Math"/>
          <w:i/>
          <w:sz w:val="19"/>
        </w:rPr>
        <w:tab/>
        <w:t>Annual operating hours</w:t>
      </w:r>
      <w:r>
        <w:rPr>
          <w:rFonts w:ascii="Cambria Math"/>
          <w:i/>
          <w:spacing w:val="-11"/>
          <w:sz w:val="19"/>
        </w:rPr>
        <w:t xml:space="preserve"> </w:t>
      </w:r>
      <w:r>
        <w:rPr>
          <w:rFonts w:ascii="Cambria Math"/>
          <w:i/>
          <w:sz w:val="19"/>
        </w:rPr>
        <w:t>(hr/yr)</w:t>
      </w:r>
    </w:p>
    <w:p w14:paraId="61AB5018" w14:textId="77777777" w:rsidR="00BB4AD7" w:rsidRDefault="00BB4AD7">
      <w:pPr>
        <w:pStyle w:val="BodyText"/>
        <w:rPr>
          <w:rFonts w:ascii="Cambria Math"/>
          <w:i/>
          <w:sz w:val="18"/>
        </w:rPr>
      </w:pPr>
    </w:p>
    <w:p w14:paraId="042C86C2" w14:textId="77777777" w:rsidR="00BB4AD7" w:rsidRDefault="00BB4AD7">
      <w:pPr>
        <w:pStyle w:val="BodyText"/>
        <w:rPr>
          <w:rFonts w:ascii="Cambria Math"/>
          <w:i/>
          <w:sz w:val="25"/>
        </w:rPr>
      </w:pPr>
    </w:p>
    <w:p w14:paraId="3B3A7261" w14:textId="77777777" w:rsidR="00BB4AD7" w:rsidRDefault="002D015B">
      <w:pPr>
        <w:pStyle w:val="BodyText"/>
        <w:spacing w:line="288" w:lineRule="auto"/>
        <w:ind w:left="120" w:right="435"/>
      </w:pPr>
      <w:r>
        <w:t>The flow that the pump provides during the peak period of 4 p.m. to 9 p.m., as well as the associated pump head and pump efficiency are difficult to estimate. Thus, the peak demand reduction is assumed to equal the average demand reduction of the pump.</w:t>
      </w:r>
    </w:p>
    <w:p w14:paraId="4C42CC07" w14:textId="77777777" w:rsidR="00BB4AD7" w:rsidRDefault="00BB4AD7">
      <w:pPr>
        <w:pStyle w:val="BodyText"/>
      </w:pPr>
    </w:p>
    <w:p w14:paraId="399A0BC0" w14:textId="77777777" w:rsidR="00BB4AD7" w:rsidRDefault="00BB4AD7">
      <w:pPr>
        <w:pStyle w:val="BodyText"/>
        <w:spacing w:before="10"/>
        <w:rPr>
          <w:sz w:val="20"/>
        </w:rPr>
      </w:pPr>
    </w:p>
    <w:p w14:paraId="65C18B1B" w14:textId="77777777" w:rsidR="00BB4AD7" w:rsidRDefault="002D015B">
      <w:pPr>
        <w:pStyle w:val="Heading1"/>
      </w:pPr>
      <w:bookmarkStart w:id="13" w:name="_Toc58850241"/>
      <w:r>
        <w:rPr>
          <w:color w:val="CFAB79"/>
        </w:rPr>
        <w:t>GAS SAVINGS (THERMS)</w:t>
      </w:r>
      <w:bookmarkEnd w:id="13"/>
    </w:p>
    <w:p w14:paraId="4D027A27" w14:textId="77777777" w:rsidR="00BB4AD7" w:rsidRDefault="002D015B">
      <w:pPr>
        <w:pStyle w:val="BodyText"/>
        <w:spacing w:before="115"/>
        <w:ind w:left="120"/>
      </w:pPr>
      <w:r>
        <w:t>Not applicable.</w:t>
      </w:r>
    </w:p>
    <w:p w14:paraId="731500DB" w14:textId="77777777" w:rsidR="00BB4AD7" w:rsidRDefault="00BB4AD7">
      <w:pPr>
        <w:pStyle w:val="BodyText"/>
      </w:pPr>
    </w:p>
    <w:p w14:paraId="07CED7D5" w14:textId="77777777" w:rsidR="00BB4AD7" w:rsidRDefault="00BB4AD7">
      <w:pPr>
        <w:pStyle w:val="BodyText"/>
        <w:spacing w:before="8"/>
        <w:rPr>
          <w:sz w:val="20"/>
        </w:rPr>
      </w:pPr>
    </w:p>
    <w:p w14:paraId="253ACD0A" w14:textId="77777777" w:rsidR="00BB4AD7" w:rsidRDefault="002D015B">
      <w:pPr>
        <w:pStyle w:val="Heading1"/>
      </w:pPr>
      <w:bookmarkStart w:id="14" w:name="_Toc58850242"/>
      <w:r>
        <w:rPr>
          <w:color w:val="CFAB79"/>
        </w:rPr>
        <w:t>LIFE CYCLE</w:t>
      </w:r>
      <w:bookmarkEnd w:id="14"/>
    </w:p>
    <w:p w14:paraId="5BD8B71F" w14:textId="77777777" w:rsidR="00BB4AD7" w:rsidRDefault="002D015B">
      <w:pPr>
        <w:pStyle w:val="BodyText"/>
        <w:spacing w:before="115"/>
        <w:ind w:left="120" w:right="389"/>
      </w:pPr>
      <w:r>
        <w:t>Effective useful life (EUL) is an estimate of the median number of years that a measure installed through a program is still in place and operable. Remaining useful life (RUL) is an estimate of the median number of years that a technology or piece of equipment replaced or altered by an energy efficiency program would have remained in service and operational had the program intervention not caused the replacement or alteration. The RUL is only applicable to the first baseline period for a retrofit measure with an applicable code baseline.</w:t>
      </w:r>
    </w:p>
    <w:p w14:paraId="23F60CD6" w14:textId="77777777" w:rsidR="00BB4AD7" w:rsidRDefault="002D015B">
      <w:pPr>
        <w:pStyle w:val="BodyText"/>
        <w:spacing w:before="119"/>
        <w:ind w:left="120" w:right="488"/>
      </w:pPr>
      <w:r>
        <w:t>As per Resolution E-4807, the California Public Utilities Commission (CPUC) defined the EUL of a</w:t>
      </w:r>
      <w:r w:rsidR="00C81390">
        <w:t>n</w:t>
      </w:r>
      <w:r>
        <w:t xml:space="preserve"> add-on equipment as the minimum of the EUL of the measure itself and the RUL of the host equipment.</w:t>
      </w:r>
      <w:r>
        <w:rPr>
          <w:vertAlign w:val="superscript"/>
        </w:rPr>
        <w:t>6</w:t>
      </w:r>
      <w:r>
        <w:t xml:space="preserve"> The methodology to calculate the RUL conforms with Version 5 of the Energy Efficiency Policy Manual, which recommends “one-third of the effective useful life in DEER as the remaining useful life until further study results are available to establish more accurate values.” This approach provides a “reasonable RUL estimate without the requiring any a priori knowledge about the age of the equipment being replaced.</w:t>
      </w:r>
      <w:r>
        <w:rPr>
          <w:vertAlign w:val="superscript"/>
        </w:rPr>
        <w:t>7</w:t>
      </w:r>
    </w:p>
    <w:p w14:paraId="315728C9" w14:textId="77777777" w:rsidR="00BB4AD7" w:rsidRDefault="00BB4AD7">
      <w:pPr>
        <w:pStyle w:val="BodyText"/>
        <w:rPr>
          <w:sz w:val="20"/>
        </w:rPr>
      </w:pPr>
    </w:p>
    <w:p w14:paraId="77C485F3" w14:textId="77777777" w:rsidR="00BB4AD7" w:rsidRDefault="00BB4AD7">
      <w:pPr>
        <w:pStyle w:val="BodyText"/>
        <w:rPr>
          <w:sz w:val="20"/>
        </w:rPr>
      </w:pPr>
    </w:p>
    <w:p w14:paraId="4953C0CD" w14:textId="77777777" w:rsidR="00BB4AD7" w:rsidRDefault="00BB4AD7">
      <w:pPr>
        <w:pStyle w:val="BodyText"/>
        <w:rPr>
          <w:sz w:val="20"/>
        </w:rPr>
      </w:pPr>
    </w:p>
    <w:p w14:paraId="2D184653" w14:textId="77777777" w:rsidR="00BB4AD7" w:rsidRDefault="00BB4AD7">
      <w:pPr>
        <w:pStyle w:val="BodyText"/>
        <w:rPr>
          <w:sz w:val="20"/>
        </w:rPr>
      </w:pPr>
    </w:p>
    <w:p w14:paraId="174EAD6E" w14:textId="77777777" w:rsidR="00BB4AD7" w:rsidRDefault="00BB4AD7">
      <w:pPr>
        <w:pStyle w:val="BodyText"/>
        <w:rPr>
          <w:sz w:val="20"/>
        </w:rPr>
      </w:pPr>
    </w:p>
    <w:p w14:paraId="40600F2E" w14:textId="77777777" w:rsidR="00BB4AD7" w:rsidRDefault="00BB4AD7">
      <w:pPr>
        <w:pStyle w:val="BodyText"/>
        <w:rPr>
          <w:sz w:val="20"/>
        </w:rPr>
      </w:pPr>
    </w:p>
    <w:p w14:paraId="403336B8" w14:textId="77777777" w:rsidR="00BB4AD7" w:rsidRDefault="00BB4AD7">
      <w:pPr>
        <w:pStyle w:val="BodyText"/>
        <w:rPr>
          <w:sz w:val="20"/>
        </w:rPr>
      </w:pPr>
    </w:p>
    <w:p w14:paraId="07C716FA" w14:textId="77777777" w:rsidR="00BB4AD7" w:rsidRDefault="00BB4AD7">
      <w:pPr>
        <w:pStyle w:val="BodyText"/>
        <w:rPr>
          <w:sz w:val="20"/>
        </w:rPr>
      </w:pPr>
    </w:p>
    <w:p w14:paraId="7BC91809" w14:textId="77777777" w:rsidR="00BB4AD7" w:rsidRDefault="00BB4AD7">
      <w:pPr>
        <w:pStyle w:val="BodyText"/>
        <w:rPr>
          <w:sz w:val="20"/>
        </w:rPr>
      </w:pPr>
    </w:p>
    <w:p w14:paraId="6CABF958" w14:textId="77777777" w:rsidR="00BB4AD7" w:rsidRDefault="00BB4AD7">
      <w:pPr>
        <w:pStyle w:val="BodyText"/>
        <w:rPr>
          <w:sz w:val="20"/>
        </w:rPr>
      </w:pPr>
    </w:p>
    <w:p w14:paraId="1C898A59" w14:textId="77777777" w:rsidR="00BB4AD7" w:rsidRDefault="00DF23AD">
      <w:pPr>
        <w:pStyle w:val="BodyText"/>
        <w:spacing w:before="1"/>
        <w:rPr>
          <w:sz w:val="25"/>
        </w:rPr>
      </w:pPr>
      <w:r>
        <w:pict w14:anchorId="638D4907">
          <v:rect id="_x0000_s1028" style="position:absolute;margin-left:1in;margin-top:17.3pt;width:2in;height:.7pt;z-index:-15726592;mso-wrap-distance-left:0;mso-wrap-distance-right:0;mso-position-horizontal-relative:page" fillcolor="black" stroked="f">
            <w10:wrap type="topAndBottom" anchorx="page"/>
          </v:rect>
        </w:pict>
      </w:r>
    </w:p>
    <w:p w14:paraId="72BA16C2" w14:textId="77777777" w:rsidR="00BB4AD7" w:rsidRDefault="00BB4AD7">
      <w:pPr>
        <w:pStyle w:val="BodyText"/>
        <w:rPr>
          <w:sz w:val="20"/>
        </w:rPr>
      </w:pPr>
    </w:p>
    <w:p w14:paraId="6807FDB8" w14:textId="77777777" w:rsidR="00BB4AD7" w:rsidRDefault="00BB4AD7">
      <w:pPr>
        <w:pStyle w:val="BodyText"/>
      </w:pPr>
    </w:p>
    <w:p w14:paraId="159D75C1" w14:textId="77777777" w:rsidR="00BB4AD7" w:rsidRDefault="002D015B">
      <w:pPr>
        <w:spacing w:before="69"/>
        <w:ind w:left="120"/>
        <w:rPr>
          <w:sz w:val="18"/>
        </w:rPr>
      </w:pPr>
      <w:r>
        <w:rPr>
          <w:position w:val="5"/>
          <w:sz w:val="12"/>
        </w:rPr>
        <w:t xml:space="preserve">6 </w:t>
      </w:r>
      <w:r>
        <w:rPr>
          <w:sz w:val="18"/>
        </w:rPr>
        <w:t xml:space="preserve">California Public Utilities Commission (CPUC). 2016. </w:t>
      </w:r>
      <w:r>
        <w:rPr>
          <w:i/>
          <w:sz w:val="18"/>
        </w:rPr>
        <w:t xml:space="preserve">Resolution E-4807. </w:t>
      </w:r>
      <w:r>
        <w:rPr>
          <w:sz w:val="18"/>
        </w:rPr>
        <w:t>December 16. Page 13.</w:t>
      </w:r>
    </w:p>
    <w:p w14:paraId="54BB34E5" w14:textId="77777777" w:rsidR="00BB4AD7" w:rsidRDefault="002D015B">
      <w:pPr>
        <w:spacing w:before="119"/>
        <w:ind w:left="120"/>
        <w:rPr>
          <w:sz w:val="18"/>
        </w:rPr>
      </w:pPr>
      <w:r>
        <w:rPr>
          <w:position w:val="5"/>
          <w:sz w:val="12"/>
        </w:rPr>
        <w:t xml:space="preserve">7 </w:t>
      </w:r>
      <w:r>
        <w:rPr>
          <w:sz w:val="18"/>
        </w:rPr>
        <w:t>KEMA, Inc. 2008. "Summary of EUL-RUL Analysis for the April 2008 Update to DEER." Memorandum submitted to Itron, Inc.</w:t>
      </w:r>
    </w:p>
    <w:p w14:paraId="208A66D4" w14:textId="77777777" w:rsidR="00BB4AD7" w:rsidRDefault="00BB4AD7">
      <w:pPr>
        <w:rPr>
          <w:sz w:val="18"/>
        </w:rPr>
        <w:sectPr w:rsidR="00BB4AD7">
          <w:headerReference w:type="default" r:id="rId13"/>
          <w:footerReference w:type="default" r:id="rId14"/>
          <w:pgSz w:w="12240" w:h="15840"/>
          <w:pgMar w:top="1220" w:right="1040" w:bottom="1320" w:left="1320" w:header="858" w:footer="1129" w:gutter="0"/>
          <w:pgNumType w:start="7"/>
          <w:cols w:space="720"/>
        </w:sectPr>
      </w:pPr>
    </w:p>
    <w:p w14:paraId="7897A97B" w14:textId="77777777" w:rsidR="00BB4AD7" w:rsidRDefault="00BB4AD7">
      <w:pPr>
        <w:pStyle w:val="BodyText"/>
        <w:spacing w:before="10"/>
        <w:rPr>
          <w:sz w:val="19"/>
        </w:rPr>
      </w:pPr>
    </w:p>
    <w:p w14:paraId="6D4DC50C" w14:textId="77777777" w:rsidR="00BB4AD7" w:rsidRDefault="002D015B">
      <w:pPr>
        <w:pStyle w:val="BodyText"/>
        <w:spacing w:before="56"/>
        <w:ind w:left="120" w:right="725"/>
      </w:pPr>
      <w:r>
        <w:t>The EUL and RUL specified for this measure are specified below. A pump motor is specified as the host equipment for which the EUL is based upon several retention studies conducted by the California investor-owned utilities.</w:t>
      </w:r>
      <w:r>
        <w:rPr>
          <w:vertAlign w:val="superscript"/>
        </w:rPr>
        <w:t>8</w:t>
      </w:r>
    </w:p>
    <w:p w14:paraId="5B8D56D1" w14:textId="77777777" w:rsidR="00BB4AD7" w:rsidRDefault="00BB4AD7">
      <w:pPr>
        <w:pStyle w:val="BodyText"/>
        <w:spacing w:before="4"/>
        <w:rPr>
          <w:sz w:val="23"/>
        </w:rPr>
      </w:pPr>
    </w:p>
    <w:p w14:paraId="58487AB3" w14:textId="77777777" w:rsidR="00BB4AD7" w:rsidRDefault="002D015B">
      <w:pPr>
        <w:ind w:left="120"/>
        <w:rPr>
          <w:sz w:val="20"/>
        </w:rPr>
      </w:pPr>
      <w:r>
        <w:rPr>
          <w:sz w:val="20"/>
        </w:rPr>
        <w:t>Effective Useful Life and Remaining Useful Life</w:t>
      </w:r>
    </w:p>
    <w:p w14:paraId="6F97F8A5" w14:textId="77777777" w:rsidR="00BB4AD7" w:rsidRDefault="00BB4AD7">
      <w:pPr>
        <w:pStyle w:val="BodyText"/>
        <w:spacing w:before="5"/>
        <w:rPr>
          <w:sz w:val="6"/>
        </w:rPr>
      </w:pPr>
    </w:p>
    <w:tbl>
      <w:tblPr>
        <w:tblW w:w="0" w:type="auto"/>
        <w:tblInd w:w="245"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1620"/>
        <w:gridCol w:w="1441"/>
        <w:gridCol w:w="6453"/>
      </w:tblGrid>
      <w:tr w:rsidR="00BB4AD7" w14:paraId="45D74A34" w14:textId="77777777">
        <w:trPr>
          <w:trHeight w:val="244"/>
        </w:trPr>
        <w:tc>
          <w:tcPr>
            <w:tcW w:w="1620" w:type="dxa"/>
            <w:shd w:val="clear" w:color="auto" w:fill="F1F1F1"/>
          </w:tcPr>
          <w:p w14:paraId="342AC70E" w14:textId="77777777" w:rsidR="00BB4AD7" w:rsidRDefault="002D015B">
            <w:pPr>
              <w:pStyle w:val="TableParagraph"/>
              <w:spacing w:before="1"/>
              <w:ind w:left="393"/>
              <w:rPr>
                <w:sz w:val="20"/>
              </w:rPr>
            </w:pPr>
            <w:r>
              <w:rPr>
                <w:sz w:val="20"/>
              </w:rPr>
              <w:t>Parameter</w:t>
            </w:r>
          </w:p>
        </w:tc>
        <w:tc>
          <w:tcPr>
            <w:tcW w:w="1441" w:type="dxa"/>
            <w:shd w:val="clear" w:color="auto" w:fill="F1F1F1"/>
          </w:tcPr>
          <w:p w14:paraId="68233A54" w14:textId="77777777" w:rsidR="00BB4AD7" w:rsidRDefault="002D015B">
            <w:pPr>
              <w:pStyle w:val="TableParagraph"/>
              <w:spacing w:before="1"/>
              <w:ind w:left="473" w:right="465"/>
              <w:jc w:val="center"/>
              <w:rPr>
                <w:sz w:val="20"/>
              </w:rPr>
            </w:pPr>
            <w:r>
              <w:rPr>
                <w:sz w:val="20"/>
              </w:rPr>
              <w:t>Value</w:t>
            </w:r>
          </w:p>
        </w:tc>
        <w:tc>
          <w:tcPr>
            <w:tcW w:w="6453" w:type="dxa"/>
            <w:shd w:val="clear" w:color="auto" w:fill="F1F1F1"/>
          </w:tcPr>
          <w:p w14:paraId="2A8184FB" w14:textId="77777777" w:rsidR="00BB4AD7" w:rsidRDefault="002D015B">
            <w:pPr>
              <w:pStyle w:val="TableParagraph"/>
              <w:spacing w:before="1"/>
              <w:ind w:left="2930" w:right="2921"/>
              <w:jc w:val="center"/>
              <w:rPr>
                <w:sz w:val="20"/>
              </w:rPr>
            </w:pPr>
            <w:r>
              <w:rPr>
                <w:sz w:val="20"/>
              </w:rPr>
              <w:t>Source</w:t>
            </w:r>
          </w:p>
        </w:tc>
      </w:tr>
      <w:tr w:rsidR="00BB4AD7" w14:paraId="0BC66DE6" w14:textId="77777777">
        <w:trPr>
          <w:trHeight w:val="438"/>
        </w:trPr>
        <w:tc>
          <w:tcPr>
            <w:tcW w:w="1620" w:type="dxa"/>
          </w:tcPr>
          <w:p w14:paraId="6F468F7E" w14:textId="77777777" w:rsidR="00BB4AD7" w:rsidRDefault="002D015B">
            <w:pPr>
              <w:pStyle w:val="TableParagraph"/>
              <w:spacing w:before="97" w:line="240" w:lineRule="auto"/>
              <w:ind w:left="115"/>
              <w:rPr>
                <w:sz w:val="20"/>
              </w:rPr>
            </w:pPr>
            <w:r>
              <w:rPr>
                <w:sz w:val="20"/>
              </w:rPr>
              <w:t>EUL (yrs)</w:t>
            </w:r>
          </w:p>
        </w:tc>
        <w:tc>
          <w:tcPr>
            <w:tcW w:w="1441" w:type="dxa"/>
          </w:tcPr>
          <w:p w14:paraId="00FBD67A" w14:textId="77777777" w:rsidR="00BB4AD7" w:rsidRDefault="002D015B">
            <w:pPr>
              <w:pStyle w:val="TableParagraph"/>
              <w:spacing w:before="97" w:line="240" w:lineRule="auto"/>
              <w:ind w:left="468" w:right="465"/>
              <w:jc w:val="center"/>
              <w:rPr>
                <w:sz w:val="20"/>
              </w:rPr>
            </w:pPr>
            <w:r>
              <w:rPr>
                <w:sz w:val="20"/>
              </w:rPr>
              <w:t>10.0</w:t>
            </w:r>
          </w:p>
        </w:tc>
        <w:tc>
          <w:tcPr>
            <w:tcW w:w="6453" w:type="dxa"/>
          </w:tcPr>
          <w:p w14:paraId="585FC9FB" w14:textId="77777777" w:rsidR="00BB4AD7" w:rsidRDefault="002D015B">
            <w:pPr>
              <w:pStyle w:val="TableParagraph"/>
              <w:spacing w:before="0" w:line="219" w:lineRule="exact"/>
              <w:ind w:left="114"/>
              <w:rPr>
                <w:sz w:val="18"/>
              </w:rPr>
            </w:pPr>
            <w:r>
              <w:rPr>
                <w:sz w:val="18"/>
              </w:rPr>
              <w:t>California Public Utilities Commission (CPUC). 2014. “DEER2014-EUL-table-</w:t>
            </w:r>
          </w:p>
          <w:p w14:paraId="6DD47CD8" w14:textId="77777777" w:rsidR="00BB4AD7" w:rsidRDefault="002D015B">
            <w:pPr>
              <w:pStyle w:val="TableParagraph"/>
              <w:spacing w:before="1" w:line="199" w:lineRule="exact"/>
              <w:ind w:left="114"/>
              <w:rPr>
                <w:sz w:val="18"/>
              </w:rPr>
            </w:pPr>
            <w:r>
              <w:rPr>
                <w:sz w:val="18"/>
              </w:rPr>
              <w:t>update_2014-02-05.xlsx.”</w:t>
            </w:r>
          </w:p>
        </w:tc>
      </w:tr>
      <w:tr w:rsidR="00BB4AD7" w14:paraId="01596665" w14:textId="77777777">
        <w:trPr>
          <w:trHeight w:val="441"/>
        </w:trPr>
        <w:tc>
          <w:tcPr>
            <w:tcW w:w="1620" w:type="dxa"/>
          </w:tcPr>
          <w:p w14:paraId="5672B4BE" w14:textId="77777777" w:rsidR="00BB4AD7" w:rsidRDefault="002D015B">
            <w:pPr>
              <w:pStyle w:val="TableParagraph"/>
              <w:spacing w:before="99" w:line="240" w:lineRule="auto"/>
              <w:ind w:left="115"/>
              <w:rPr>
                <w:sz w:val="20"/>
              </w:rPr>
            </w:pPr>
            <w:r>
              <w:rPr>
                <w:sz w:val="20"/>
              </w:rPr>
              <w:t>RUL (yrs)</w:t>
            </w:r>
          </w:p>
        </w:tc>
        <w:tc>
          <w:tcPr>
            <w:tcW w:w="1441" w:type="dxa"/>
          </w:tcPr>
          <w:p w14:paraId="098CD2F7" w14:textId="77777777" w:rsidR="00BB4AD7" w:rsidRDefault="002D015B">
            <w:pPr>
              <w:pStyle w:val="TableParagraph"/>
              <w:spacing w:before="99" w:line="240" w:lineRule="auto"/>
              <w:ind w:left="468" w:right="465"/>
              <w:jc w:val="center"/>
              <w:rPr>
                <w:sz w:val="20"/>
              </w:rPr>
            </w:pPr>
            <w:r>
              <w:rPr>
                <w:sz w:val="20"/>
              </w:rPr>
              <w:t>3.3</w:t>
            </w:r>
          </w:p>
        </w:tc>
        <w:tc>
          <w:tcPr>
            <w:tcW w:w="6453" w:type="dxa"/>
          </w:tcPr>
          <w:p w14:paraId="7A85FD75" w14:textId="77777777" w:rsidR="00BB4AD7" w:rsidRDefault="002D015B">
            <w:pPr>
              <w:pStyle w:val="TableParagraph"/>
              <w:spacing w:before="1" w:line="220" w:lineRule="atLeast"/>
              <w:ind w:left="114"/>
              <w:rPr>
                <w:sz w:val="18"/>
              </w:rPr>
            </w:pPr>
            <w:r>
              <w:rPr>
                <w:sz w:val="18"/>
              </w:rPr>
              <w:t>California Public Utilities Commission (CPUC), Energy Division. 20</w:t>
            </w:r>
            <w:r w:rsidR="00D5059E">
              <w:rPr>
                <w:sz w:val="18"/>
              </w:rPr>
              <w:t>20</w:t>
            </w:r>
            <w:r>
              <w:rPr>
                <w:sz w:val="18"/>
              </w:rPr>
              <w:t xml:space="preserve">. </w:t>
            </w:r>
            <w:r>
              <w:rPr>
                <w:i/>
                <w:sz w:val="18"/>
              </w:rPr>
              <w:t xml:space="preserve">Energy Efficiency Policy Manual, Version </w:t>
            </w:r>
            <w:r w:rsidR="00D5059E">
              <w:rPr>
                <w:i/>
                <w:sz w:val="18"/>
              </w:rPr>
              <w:t>6.</w:t>
            </w:r>
          </w:p>
        </w:tc>
      </w:tr>
    </w:tbl>
    <w:p w14:paraId="5DB9F1F4" w14:textId="77777777" w:rsidR="00BB4AD7" w:rsidRDefault="00BB4AD7">
      <w:pPr>
        <w:pStyle w:val="BodyText"/>
        <w:rPr>
          <w:sz w:val="20"/>
        </w:rPr>
      </w:pPr>
    </w:p>
    <w:p w14:paraId="4183FF80" w14:textId="77777777" w:rsidR="00BB4AD7" w:rsidRDefault="00BB4AD7">
      <w:pPr>
        <w:pStyle w:val="BodyText"/>
        <w:spacing w:before="7"/>
      </w:pPr>
    </w:p>
    <w:p w14:paraId="7FED98FA" w14:textId="77777777" w:rsidR="00BB4AD7" w:rsidRDefault="002D015B">
      <w:pPr>
        <w:pStyle w:val="Heading1"/>
      </w:pPr>
      <w:bookmarkStart w:id="15" w:name="_Toc58850243"/>
      <w:r>
        <w:rPr>
          <w:color w:val="CFAB79"/>
        </w:rPr>
        <w:t>BASE CASE MATERIAL COST ($/UNIT)</w:t>
      </w:r>
      <w:bookmarkEnd w:id="15"/>
    </w:p>
    <w:p w14:paraId="5912B9F6" w14:textId="77777777" w:rsidR="00BB4AD7" w:rsidRDefault="002D015B">
      <w:pPr>
        <w:pStyle w:val="BodyText"/>
        <w:spacing w:before="116"/>
        <w:ind w:left="120" w:right="405"/>
      </w:pPr>
      <w:r>
        <w:t xml:space="preserve">The base case cost for an </w:t>
      </w:r>
      <w:r>
        <w:rPr>
          <w:i/>
        </w:rPr>
        <w:t xml:space="preserve">add-on equipment installation </w:t>
      </w:r>
      <w:r>
        <w:t>is equal to $0 because these are no modifications to the existing equipment. The customer has the option to make no changes to their existing irrigation pumping system.</w:t>
      </w:r>
    </w:p>
    <w:p w14:paraId="3E74F80C" w14:textId="3D74BC49" w:rsidR="00BB4AD7" w:rsidRDefault="002D015B">
      <w:pPr>
        <w:pStyle w:val="BodyText"/>
        <w:spacing w:before="118"/>
        <w:ind w:left="120" w:right="439"/>
      </w:pPr>
      <w:r>
        <w:t xml:space="preserve">The base case cost of a </w:t>
      </w:r>
      <w:r>
        <w:rPr>
          <w:i/>
        </w:rPr>
        <w:t xml:space="preserve">new construction </w:t>
      </w:r>
      <w:r>
        <w:t>installation is assumed to equal the cost of a pump motor equipped with a soft starter. Cost data for soft starters was obtained from the 20</w:t>
      </w:r>
      <w:r w:rsidR="0005208C">
        <w:t>14</w:t>
      </w:r>
      <w:r>
        <w:t xml:space="preserve"> RSMeans Mechanical Cost Data</w:t>
      </w:r>
      <w:r>
        <w:rPr>
          <w:vertAlign w:val="superscript"/>
        </w:rPr>
        <w:t>9</w:t>
      </w:r>
      <w:r>
        <w:t xml:space="preserve"> </w:t>
      </w:r>
      <w:r w:rsidR="003326C4">
        <w:t xml:space="preserve">and adjusted using a price index from the same reference for year 2020.  </w:t>
      </w:r>
      <w:r>
        <w:t>The unit cost (per hp) is the average cost of the pump sizes with soft starters within the eligible horsepower range.</w:t>
      </w:r>
      <w:r>
        <w:rPr>
          <w:vertAlign w:val="superscript"/>
        </w:rPr>
        <w:t>10</w:t>
      </w:r>
    </w:p>
    <w:p w14:paraId="285CAA7E" w14:textId="77777777" w:rsidR="00BB4AD7" w:rsidRDefault="00BB4AD7">
      <w:pPr>
        <w:pStyle w:val="BodyText"/>
        <w:rPr>
          <w:sz w:val="24"/>
        </w:rPr>
      </w:pPr>
    </w:p>
    <w:p w14:paraId="06057E37" w14:textId="77777777" w:rsidR="00BB4AD7" w:rsidRDefault="00BB4AD7">
      <w:pPr>
        <w:pStyle w:val="BodyText"/>
        <w:spacing w:before="9"/>
        <w:rPr>
          <w:sz w:val="18"/>
        </w:rPr>
      </w:pPr>
    </w:p>
    <w:p w14:paraId="1BC7C0AD" w14:textId="77777777" w:rsidR="00BB4AD7" w:rsidRDefault="002D015B">
      <w:pPr>
        <w:pStyle w:val="Heading1"/>
      </w:pPr>
      <w:bookmarkStart w:id="16" w:name="_Toc58850244"/>
      <w:r>
        <w:rPr>
          <w:color w:val="CFAB79"/>
        </w:rPr>
        <w:t>MEASURE CASE MATERIAL COST ($/UNIT)</w:t>
      </w:r>
      <w:bookmarkEnd w:id="16"/>
    </w:p>
    <w:p w14:paraId="59376544" w14:textId="50EBB743" w:rsidR="00BB4AD7" w:rsidRDefault="002D015B">
      <w:pPr>
        <w:pStyle w:val="BodyText"/>
        <w:spacing w:before="115"/>
        <w:ind w:left="120" w:right="478"/>
      </w:pPr>
      <w:r>
        <w:t xml:space="preserve">The measure case material cost for </w:t>
      </w:r>
      <w:r>
        <w:rPr>
          <w:i/>
        </w:rPr>
        <w:t xml:space="preserve">all installation types </w:t>
      </w:r>
      <w:r>
        <w:t>was derived from the 20</w:t>
      </w:r>
      <w:r w:rsidR="000A7E53">
        <w:t>14</w:t>
      </w:r>
      <w:r>
        <w:t xml:space="preserve"> RSMeans Mechanical Cost Data 20</w:t>
      </w:r>
      <w:r w:rsidR="003B66E8">
        <w:t>14</w:t>
      </w:r>
      <w:r>
        <w:rPr>
          <w:vertAlign w:val="superscript"/>
        </w:rPr>
        <w:t>11</w:t>
      </w:r>
      <w:r>
        <w:t xml:space="preserve"> </w:t>
      </w:r>
      <w:r w:rsidR="00880224">
        <w:t xml:space="preserve">and adjusted using a price index from the same reference for year 2020.  </w:t>
      </w:r>
      <w:r>
        <w:t>The costs for VFDs on pumps in the eligible horsepower ranges were averaged to calculate the cost for each pump type designated for this measure.</w:t>
      </w:r>
      <w:r>
        <w:rPr>
          <w:vertAlign w:val="superscript"/>
        </w:rPr>
        <w:t>12</w:t>
      </w:r>
    </w:p>
    <w:p w14:paraId="3D34D94A" w14:textId="77777777" w:rsidR="00BB4AD7" w:rsidRDefault="00BB4AD7">
      <w:pPr>
        <w:pStyle w:val="BodyText"/>
        <w:rPr>
          <w:sz w:val="20"/>
        </w:rPr>
      </w:pPr>
    </w:p>
    <w:p w14:paraId="6FA2DDD0" w14:textId="77777777" w:rsidR="00BB4AD7" w:rsidRDefault="00BB4AD7">
      <w:pPr>
        <w:pStyle w:val="BodyText"/>
        <w:rPr>
          <w:sz w:val="20"/>
        </w:rPr>
      </w:pPr>
    </w:p>
    <w:p w14:paraId="562455BE" w14:textId="77777777" w:rsidR="00BB4AD7" w:rsidRDefault="00BB4AD7">
      <w:pPr>
        <w:pStyle w:val="BodyText"/>
        <w:rPr>
          <w:sz w:val="20"/>
        </w:rPr>
      </w:pPr>
    </w:p>
    <w:p w14:paraId="4AFA4A7E" w14:textId="77777777" w:rsidR="00BB4AD7" w:rsidRDefault="00DF23AD">
      <w:pPr>
        <w:pStyle w:val="BodyText"/>
        <w:spacing w:before="9"/>
        <w:rPr>
          <w:sz w:val="25"/>
        </w:rPr>
      </w:pPr>
      <w:r>
        <w:pict w14:anchorId="7F088FE6">
          <v:rect id="_x0000_s1027" style="position:absolute;margin-left:1in;margin-top:17.7pt;width:2in;height:.7pt;z-index:-15726080;mso-wrap-distance-left:0;mso-wrap-distance-right:0;mso-position-horizontal-relative:page" fillcolor="black" stroked="f">
            <w10:wrap type="topAndBottom" anchorx="page"/>
          </v:rect>
        </w:pict>
      </w:r>
    </w:p>
    <w:p w14:paraId="44C2843A" w14:textId="77777777" w:rsidR="00BB4AD7" w:rsidRDefault="00BB4AD7">
      <w:pPr>
        <w:pStyle w:val="BodyText"/>
        <w:rPr>
          <w:sz w:val="20"/>
        </w:rPr>
      </w:pPr>
    </w:p>
    <w:p w14:paraId="7557826E" w14:textId="77777777" w:rsidR="00BB4AD7" w:rsidRDefault="00BB4AD7">
      <w:pPr>
        <w:pStyle w:val="BodyText"/>
        <w:spacing w:before="2"/>
        <w:rPr>
          <w:sz w:val="21"/>
        </w:rPr>
      </w:pPr>
    </w:p>
    <w:p w14:paraId="39339C3D" w14:textId="77777777" w:rsidR="00BB4AD7" w:rsidRDefault="002D015B">
      <w:pPr>
        <w:spacing w:before="71" w:line="252" w:lineRule="auto"/>
        <w:ind w:left="120" w:right="432"/>
        <w:rPr>
          <w:sz w:val="18"/>
        </w:rPr>
      </w:pPr>
      <w:r>
        <w:rPr>
          <w:position w:val="8"/>
          <w:sz w:val="14"/>
        </w:rPr>
        <w:t xml:space="preserve">8 </w:t>
      </w:r>
      <w:r>
        <w:rPr>
          <w:sz w:val="18"/>
        </w:rPr>
        <w:t xml:space="preserve">San Diego Gas &amp; Electric (SDG&amp;E), Marketing Programs &amp; Planning. 2004. </w:t>
      </w:r>
      <w:r>
        <w:rPr>
          <w:i/>
          <w:sz w:val="18"/>
        </w:rPr>
        <w:t>1994 &amp; 1995 Commercial Energy Efficiency Incentives Ninth Year Retention Evaluation</w:t>
      </w:r>
      <w:r>
        <w:rPr>
          <w:sz w:val="18"/>
        </w:rPr>
        <w:t>. Study ID Nos. 925 &amp; 961.</w:t>
      </w:r>
    </w:p>
    <w:p w14:paraId="0BFDA7C1" w14:textId="77777777" w:rsidR="00BB4AD7" w:rsidRDefault="002D015B">
      <w:pPr>
        <w:spacing w:before="30"/>
        <w:ind w:left="120"/>
        <w:rPr>
          <w:sz w:val="18"/>
        </w:rPr>
      </w:pPr>
      <w:r>
        <w:rPr>
          <w:sz w:val="18"/>
        </w:rPr>
        <w:t xml:space="preserve">ADM Associates, Inc. 2003. </w:t>
      </w:r>
      <w:r>
        <w:rPr>
          <w:i/>
          <w:sz w:val="18"/>
        </w:rPr>
        <w:t>Southern California Edison Commercial/Industrial/Agricultural Energy Efficiency Incentives Program Retention Study</w:t>
      </w:r>
      <w:r>
        <w:rPr>
          <w:sz w:val="18"/>
        </w:rPr>
        <w:t>. Prepared for Southern California Edison Company.</w:t>
      </w:r>
    </w:p>
    <w:p w14:paraId="1D19578E" w14:textId="77777777" w:rsidR="00BB4AD7" w:rsidRDefault="002D015B">
      <w:pPr>
        <w:spacing w:before="121"/>
        <w:ind w:left="120" w:right="630"/>
        <w:rPr>
          <w:sz w:val="18"/>
        </w:rPr>
      </w:pPr>
      <w:r>
        <w:rPr>
          <w:sz w:val="18"/>
        </w:rPr>
        <w:t xml:space="preserve">San Diego Gas &amp; Electric (SDG&amp;E). 2003. </w:t>
      </w:r>
      <w:r>
        <w:rPr>
          <w:i/>
          <w:sz w:val="18"/>
        </w:rPr>
        <w:t>1996 &amp; 1997 Agricultural Energy Efficiency Incentives Sixth Year Retention Evaluation</w:t>
      </w:r>
      <w:r>
        <w:rPr>
          <w:sz w:val="18"/>
        </w:rPr>
        <w:t>. Study ID Nos. 1000 &amp; 1024.</w:t>
      </w:r>
    </w:p>
    <w:p w14:paraId="70409E27" w14:textId="37A13F79" w:rsidR="00BB4AD7" w:rsidRDefault="002D015B">
      <w:pPr>
        <w:spacing w:before="122"/>
        <w:ind w:left="120" w:right="581"/>
        <w:rPr>
          <w:sz w:val="18"/>
        </w:rPr>
      </w:pPr>
      <w:r>
        <w:rPr>
          <w:position w:val="5"/>
          <w:sz w:val="12"/>
        </w:rPr>
        <w:t xml:space="preserve">9 </w:t>
      </w:r>
      <w:r>
        <w:rPr>
          <w:sz w:val="18"/>
        </w:rPr>
        <w:t>RSMeans Engineering Department. 20</w:t>
      </w:r>
      <w:r w:rsidR="006161AE">
        <w:rPr>
          <w:sz w:val="18"/>
        </w:rPr>
        <w:t>14</w:t>
      </w:r>
      <w:r>
        <w:rPr>
          <w:sz w:val="18"/>
        </w:rPr>
        <w:t xml:space="preserve">. </w:t>
      </w:r>
      <w:r>
        <w:rPr>
          <w:i/>
          <w:sz w:val="18"/>
        </w:rPr>
        <w:t>RSMeans Mechanical Cost Data 2014</w:t>
      </w:r>
      <w:r>
        <w:rPr>
          <w:sz w:val="18"/>
        </w:rPr>
        <w:t>. 37</w:t>
      </w:r>
      <w:r>
        <w:rPr>
          <w:position w:val="5"/>
          <w:sz w:val="12"/>
        </w:rPr>
        <w:t xml:space="preserve">th </w:t>
      </w:r>
      <w:r>
        <w:rPr>
          <w:sz w:val="18"/>
        </w:rPr>
        <w:t>Annual Edition. Section 26 29 23.10 Variable Frequency Drives/Adj. Frequency Drives.</w:t>
      </w:r>
    </w:p>
    <w:p w14:paraId="7A002784" w14:textId="77777777" w:rsidR="00BB4AD7" w:rsidRDefault="002D015B">
      <w:pPr>
        <w:spacing w:before="120"/>
        <w:ind w:left="120"/>
        <w:rPr>
          <w:sz w:val="18"/>
        </w:rPr>
      </w:pPr>
      <w:r>
        <w:rPr>
          <w:position w:val="5"/>
          <w:sz w:val="12"/>
        </w:rPr>
        <w:t xml:space="preserve">10 </w:t>
      </w:r>
      <w:r>
        <w:rPr>
          <w:sz w:val="18"/>
        </w:rPr>
        <w:t>Pacific Gas and Electric (PG&amp;E). 20</w:t>
      </w:r>
      <w:r w:rsidR="009E535A">
        <w:rPr>
          <w:sz w:val="18"/>
        </w:rPr>
        <w:t>20</w:t>
      </w:r>
      <w:r>
        <w:rPr>
          <w:sz w:val="18"/>
        </w:rPr>
        <w:t>. “VFD and Soft Starter Cost Data per hp.xlsx</w:t>
      </w:r>
    </w:p>
    <w:p w14:paraId="72F8DBC6" w14:textId="6E575EE9" w:rsidR="00BB4AD7" w:rsidRDefault="002D015B">
      <w:pPr>
        <w:spacing w:before="121"/>
        <w:ind w:left="120" w:right="581"/>
        <w:rPr>
          <w:sz w:val="18"/>
        </w:rPr>
      </w:pPr>
      <w:r>
        <w:rPr>
          <w:position w:val="5"/>
          <w:sz w:val="12"/>
        </w:rPr>
        <w:t xml:space="preserve">11 </w:t>
      </w:r>
      <w:r>
        <w:rPr>
          <w:sz w:val="18"/>
        </w:rPr>
        <w:t>RSMeans Engineering Department. 20</w:t>
      </w:r>
      <w:r w:rsidR="006161AE">
        <w:rPr>
          <w:sz w:val="18"/>
        </w:rPr>
        <w:t>14</w:t>
      </w:r>
      <w:r>
        <w:rPr>
          <w:sz w:val="18"/>
        </w:rPr>
        <w:t xml:space="preserve">. </w:t>
      </w:r>
      <w:r>
        <w:rPr>
          <w:i/>
          <w:sz w:val="18"/>
        </w:rPr>
        <w:t>RSMeans Mechanical Cost Data 20</w:t>
      </w:r>
      <w:r w:rsidR="00D5059E">
        <w:rPr>
          <w:i/>
          <w:sz w:val="18"/>
        </w:rPr>
        <w:t>20</w:t>
      </w:r>
      <w:r>
        <w:rPr>
          <w:sz w:val="18"/>
        </w:rPr>
        <w:t>. 37</w:t>
      </w:r>
      <w:r>
        <w:rPr>
          <w:position w:val="5"/>
          <w:sz w:val="12"/>
        </w:rPr>
        <w:t xml:space="preserve">th </w:t>
      </w:r>
      <w:r>
        <w:rPr>
          <w:sz w:val="18"/>
        </w:rPr>
        <w:t>Annual Edition. Section 26 29 23.10 Variable Frequency Drives/Adj. Frequency Drives.</w:t>
      </w:r>
    </w:p>
    <w:p w14:paraId="50143FA1" w14:textId="77777777" w:rsidR="00BB4AD7" w:rsidRDefault="002D015B">
      <w:pPr>
        <w:spacing w:before="119"/>
        <w:ind w:left="120"/>
        <w:rPr>
          <w:sz w:val="18"/>
        </w:rPr>
      </w:pPr>
      <w:r>
        <w:rPr>
          <w:position w:val="5"/>
          <w:sz w:val="12"/>
        </w:rPr>
        <w:t xml:space="preserve">12 </w:t>
      </w:r>
      <w:r>
        <w:rPr>
          <w:sz w:val="18"/>
        </w:rPr>
        <w:t>Pacific Gas and Electric (PG&amp;E). 20</w:t>
      </w:r>
      <w:r w:rsidR="009E535A">
        <w:rPr>
          <w:sz w:val="18"/>
        </w:rPr>
        <w:t>20</w:t>
      </w:r>
      <w:r>
        <w:rPr>
          <w:sz w:val="18"/>
        </w:rPr>
        <w:t>. “VFD and Soft Starter Cost Data per hp.xlsx</w:t>
      </w:r>
    </w:p>
    <w:p w14:paraId="33D9D157" w14:textId="77777777" w:rsidR="00BB4AD7" w:rsidRDefault="00BB4AD7">
      <w:pPr>
        <w:rPr>
          <w:sz w:val="18"/>
        </w:rPr>
        <w:sectPr w:rsidR="00BB4AD7">
          <w:pgSz w:w="12240" w:h="15840"/>
          <w:pgMar w:top="1220" w:right="1040" w:bottom="1320" w:left="1320" w:header="858" w:footer="1129" w:gutter="0"/>
          <w:cols w:space="720"/>
        </w:sectPr>
      </w:pPr>
    </w:p>
    <w:p w14:paraId="4640C5E1" w14:textId="77777777" w:rsidR="00BB4AD7" w:rsidRDefault="00BB4AD7">
      <w:pPr>
        <w:pStyle w:val="BodyText"/>
        <w:spacing w:before="3"/>
        <w:rPr>
          <w:sz w:val="21"/>
        </w:rPr>
      </w:pPr>
    </w:p>
    <w:p w14:paraId="3DF42952" w14:textId="77777777" w:rsidR="00BB4AD7" w:rsidRDefault="002D015B">
      <w:pPr>
        <w:pStyle w:val="Heading1"/>
        <w:spacing w:before="51"/>
      </w:pPr>
      <w:bookmarkStart w:id="17" w:name="_Toc58850245"/>
      <w:r>
        <w:rPr>
          <w:color w:val="CFAB79"/>
        </w:rPr>
        <w:t>BASE CASE LABOR COST ($/UNIT)</w:t>
      </w:r>
      <w:bookmarkEnd w:id="17"/>
    </w:p>
    <w:p w14:paraId="5AE20DCC" w14:textId="77777777" w:rsidR="00BB4AD7" w:rsidRDefault="002D015B">
      <w:pPr>
        <w:pStyle w:val="BodyText"/>
        <w:spacing w:before="115"/>
        <w:ind w:left="120" w:right="1043"/>
      </w:pPr>
      <w:r>
        <w:t xml:space="preserve">The base case labor cost for an </w:t>
      </w:r>
      <w:r>
        <w:rPr>
          <w:i/>
        </w:rPr>
        <w:t xml:space="preserve">add-on equipment installation </w:t>
      </w:r>
      <w:r>
        <w:t>is equal to $0 because these are no modifications to the existing equipment. The customer has the option to make no changes to their existing irrigation pumping system.</w:t>
      </w:r>
    </w:p>
    <w:p w14:paraId="2D38313D" w14:textId="1147857E" w:rsidR="00BB4AD7" w:rsidRDefault="002D015B">
      <w:pPr>
        <w:pStyle w:val="BodyText"/>
        <w:spacing w:before="121"/>
        <w:ind w:left="120" w:right="473"/>
      </w:pPr>
      <w:r>
        <w:t xml:space="preserve">The base case labor cost of the </w:t>
      </w:r>
      <w:r>
        <w:rPr>
          <w:i/>
        </w:rPr>
        <w:t xml:space="preserve">normal replacement </w:t>
      </w:r>
      <w:r>
        <w:t xml:space="preserve">and </w:t>
      </w:r>
      <w:r>
        <w:rPr>
          <w:i/>
        </w:rPr>
        <w:t xml:space="preserve">new construction </w:t>
      </w:r>
      <w:r>
        <w:t>installations is assumed to equal the cost to install a standard pump motor equipped with a soft starter. Cost data for soft starters was obtained from the 20</w:t>
      </w:r>
      <w:r w:rsidR="00124273">
        <w:t>14</w:t>
      </w:r>
      <w:r>
        <w:t xml:space="preserve"> RSMeans Mechanical Cost Data</w:t>
      </w:r>
      <w:r>
        <w:rPr>
          <w:vertAlign w:val="superscript"/>
        </w:rPr>
        <w:t>13</w:t>
      </w:r>
      <w:r>
        <w:t xml:space="preserve"> </w:t>
      </w:r>
      <w:r w:rsidR="00880224">
        <w:t>and adjusted using a price index from the same reference for year 2020</w:t>
      </w:r>
      <w:r w:rsidR="005B4DC0">
        <w:t xml:space="preserve">.  </w:t>
      </w:r>
      <w:r>
        <w:t>The unit labor cost (per hp) is the average cost of installation within the eligible horsepower range.</w:t>
      </w:r>
      <w:r>
        <w:rPr>
          <w:vertAlign w:val="superscript"/>
        </w:rPr>
        <w:t>14</w:t>
      </w:r>
    </w:p>
    <w:p w14:paraId="5FC5BABD" w14:textId="77777777" w:rsidR="00BB4AD7" w:rsidRDefault="00BB4AD7">
      <w:pPr>
        <w:pStyle w:val="BodyText"/>
        <w:rPr>
          <w:sz w:val="24"/>
        </w:rPr>
      </w:pPr>
    </w:p>
    <w:p w14:paraId="3F99CCBC" w14:textId="77777777" w:rsidR="00BB4AD7" w:rsidRDefault="00BB4AD7">
      <w:pPr>
        <w:pStyle w:val="BodyText"/>
        <w:spacing w:before="9"/>
        <w:rPr>
          <w:sz w:val="18"/>
        </w:rPr>
      </w:pPr>
    </w:p>
    <w:p w14:paraId="0A502D9B" w14:textId="77777777" w:rsidR="00BB4AD7" w:rsidRDefault="002D015B">
      <w:pPr>
        <w:pStyle w:val="Heading1"/>
      </w:pPr>
      <w:bookmarkStart w:id="18" w:name="_Toc58850246"/>
      <w:r>
        <w:rPr>
          <w:color w:val="CFAB79"/>
        </w:rPr>
        <w:t>MEASURE CASE LABOR COST ($/UNIT)</w:t>
      </w:r>
      <w:bookmarkEnd w:id="18"/>
    </w:p>
    <w:p w14:paraId="40F2369A" w14:textId="05AECABA" w:rsidR="00BB4AD7" w:rsidRDefault="002D015B">
      <w:pPr>
        <w:pStyle w:val="BodyText"/>
        <w:spacing w:before="113"/>
        <w:ind w:left="120" w:right="418"/>
      </w:pPr>
      <w:r>
        <w:t xml:space="preserve">The measure case labor cost for </w:t>
      </w:r>
      <w:r>
        <w:rPr>
          <w:i/>
        </w:rPr>
        <w:t xml:space="preserve">all installation types </w:t>
      </w:r>
      <w:r>
        <w:t>and pump types designated for this measure was derived the 20</w:t>
      </w:r>
      <w:r w:rsidR="005B4DC0">
        <w:t>14</w:t>
      </w:r>
      <w:r>
        <w:t xml:space="preserve"> RSMeans Mechanical Cost Data</w:t>
      </w:r>
      <w:r>
        <w:rPr>
          <w:vertAlign w:val="superscript"/>
        </w:rPr>
        <w:t>15</w:t>
      </w:r>
      <w:r>
        <w:t xml:space="preserve"> </w:t>
      </w:r>
      <w:r w:rsidR="005B4DC0">
        <w:t xml:space="preserve">and adjusted using a price index from the same reference for year 2020.  </w:t>
      </w:r>
      <w:r>
        <w:t>The unit cost (per hp) is the average cost of the pump sizes with soft starters within the eligible horsepower range.</w:t>
      </w:r>
      <w:r>
        <w:rPr>
          <w:vertAlign w:val="superscript"/>
        </w:rPr>
        <w:t>16</w:t>
      </w:r>
    </w:p>
    <w:p w14:paraId="27257AA1" w14:textId="77777777" w:rsidR="00BB4AD7" w:rsidRDefault="00BB4AD7">
      <w:pPr>
        <w:pStyle w:val="BodyText"/>
        <w:rPr>
          <w:sz w:val="24"/>
        </w:rPr>
      </w:pPr>
    </w:p>
    <w:p w14:paraId="63DE2D4E" w14:textId="77777777" w:rsidR="00BB4AD7" w:rsidRDefault="00BB4AD7">
      <w:pPr>
        <w:pStyle w:val="BodyText"/>
        <w:spacing w:before="9"/>
        <w:rPr>
          <w:sz w:val="18"/>
        </w:rPr>
      </w:pPr>
    </w:p>
    <w:p w14:paraId="5D7CF9BA" w14:textId="77777777" w:rsidR="00BB4AD7" w:rsidRDefault="002D015B">
      <w:pPr>
        <w:pStyle w:val="Heading1"/>
      </w:pPr>
      <w:bookmarkStart w:id="19" w:name="_Toc58850247"/>
      <w:r>
        <w:rPr>
          <w:color w:val="CFAB79"/>
        </w:rPr>
        <w:t>NET-TO-GROSS</w:t>
      </w:r>
      <w:bookmarkEnd w:id="19"/>
    </w:p>
    <w:p w14:paraId="1E854018" w14:textId="1EA83B01" w:rsidR="00BB4AD7" w:rsidRDefault="002D015B">
      <w:pPr>
        <w:pStyle w:val="BodyText"/>
        <w:spacing w:before="115"/>
        <w:ind w:left="120" w:right="580"/>
      </w:pPr>
      <w:r>
        <w:t xml:space="preserve">The net-to-gross (NTG) ratio represents the portion of gross impacts that are determined to be directly attributed to a specific program intervention. These NTG values are based upon the </w:t>
      </w:r>
      <w:r w:rsidR="009E535A">
        <w:t xml:space="preserve">recommended rates by CPUC’s Resolution E-5082 and were derived from the </w:t>
      </w:r>
      <w:r w:rsidR="009E535A" w:rsidRPr="009E535A">
        <w:t>Small/Medium Commercial Sector EM&amp;VPY2018</w:t>
      </w:r>
      <w:r w:rsidR="00157427">
        <w:t xml:space="preserve"> </w:t>
      </w:r>
    </w:p>
    <w:p w14:paraId="78F8A54B" w14:textId="77777777" w:rsidR="00BB4AD7" w:rsidRDefault="00BB4AD7">
      <w:pPr>
        <w:pStyle w:val="BodyText"/>
        <w:spacing w:before="2"/>
        <w:rPr>
          <w:sz w:val="23"/>
        </w:rPr>
      </w:pPr>
    </w:p>
    <w:p w14:paraId="75EA2082" w14:textId="77777777" w:rsidR="00BB4AD7" w:rsidRDefault="002D015B">
      <w:pPr>
        <w:ind w:left="120"/>
        <w:rPr>
          <w:sz w:val="20"/>
        </w:rPr>
      </w:pPr>
      <w:r>
        <w:rPr>
          <w:sz w:val="20"/>
        </w:rPr>
        <w:t>Net-to-Gross Ratios</w:t>
      </w:r>
    </w:p>
    <w:p w14:paraId="31EE1B94" w14:textId="77777777" w:rsidR="00BB4AD7" w:rsidRDefault="00BB4AD7">
      <w:pPr>
        <w:pStyle w:val="BodyText"/>
        <w:spacing w:before="5"/>
        <w:rPr>
          <w:sz w:val="6"/>
        </w:rPr>
      </w:pPr>
    </w:p>
    <w:tbl>
      <w:tblPr>
        <w:tblW w:w="0" w:type="auto"/>
        <w:tblInd w:w="245"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2071"/>
        <w:gridCol w:w="1620"/>
        <w:gridCol w:w="5369"/>
      </w:tblGrid>
      <w:tr w:rsidR="00BB4AD7" w14:paraId="360FF472" w14:textId="77777777">
        <w:trPr>
          <w:trHeight w:val="244"/>
        </w:trPr>
        <w:tc>
          <w:tcPr>
            <w:tcW w:w="2071" w:type="dxa"/>
            <w:shd w:val="clear" w:color="auto" w:fill="F1F1F1"/>
          </w:tcPr>
          <w:p w14:paraId="16A4DC74" w14:textId="77777777" w:rsidR="00BB4AD7" w:rsidRDefault="002D015B">
            <w:pPr>
              <w:pStyle w:val="TableParagraph"/>
              <w:spacing w:before="1"/>
              <w:ind w:left="618"/>
              <w:rPr>
                <w:sz w:val="20"/>
              </w:rPr>
            </w:pPr>
            <w:r>
              <w:rPr>
                <w:sz w:val="20"/>
              </w:rPr>
              <w:t>Parameter</w:t>
            </w:r>
          </w:p>
        </w:tc>
        <w:tc>
          <w:tcPr>
            <w:tcW w:w="1620" w:type="dxa"/>
            <w:shd w:val="clear" w:color="auto" w:fill="F1F1F1"/>
          </w:tcPr>
          <w:p w14:paraId="4DA9FFE4" w14:textId="77777777" w:rsidR="00BB4AD7" w:rsidRDefault="002D015B">
            <w:pPr>
              <w:pStyle w:val="TableParagraph"/>
              <w:spacing w:before="1"/>
              <w:ind w:left="563" w:right="554"/>
              <w:jc w:val="center"/>
              <w:rPr>
                <w:sz w:val="20"/>
              </w:rPr>
            </w:pPr>
            <w:r>
              <w:rPr>
                <w:sz w:val="20"/>
              </w:rPr>
              <w:t>Value</w:t>
            </w:r>
          </w:p>
        </w:tc>
        <w:tc>
          <w:tcPr>
            <w:tcW w:w="5369" w:type="dxa"/>
            <w:shd w:val="clear" w:color="auto" w:fill="F1F1F1"/>
          </w:tcPr>
          <w:p w14:paraId="0DCABF0C" w14:textId="77777777" w:rsidR="00BB4AD7" w:rsidRDefault="002D015B">
            <w:pPr>
              <w:pStyle w:val="TableParagraph"/>
              <w:spacing w:before="1"/>
              <w:ind w:left="2389" w:right="2378"/>
              <w:jc w:val="center"/>
              <w:rPr>
                <w:sz w:val="20"/>
              </w:rPr>
            </w:pPr>
            <w:r>
              <w:rPr>
                <w:sz w:val="20"/>
              </w:rPr>
              <w:t>Source</w:t>
            </w:r>
          </w:p>
        </w:tc>
      </w:tr>
      <w:tr w:rsidR="00BB4AD7" w14:paraId="12F64D20" w14:textId="77777777">
        <w:trPr>
          <w:trHeight w:val="350"/>
        </w:trPr>
        <w:tc>
          <w:tcPr>
            <w:tcW w:w="2071" w:type="dxa"/>
          </w:tcPr>
          <w:p w14:paraId="1D217F06" w14:textId="77777777" w:rsidR="00BB4AD7" w:rsidRDefault="002D015B">
            <w:pPr>
              <w:pStyle w:val="TableParagraph"/>
              <w:spacing w:before="54" w:line="240" w:lineRule="auto"/>
              <w:ind w:left="115"/>
              <w:rPr>
                <w:sz w:val="20"/>
              </w:rPr>
            </w:pPr>
            <w:r>
              <w:rPr>
                <w:sz w:val="20"/>
              </w:rPr>
              <w:t>NTG – agriculture</w:t>
            </w:r>
          </w:p>
        </w:tc>
        <w:tc>
          <w:tcPr>
            <w:tcW w:w="1620" w:type="dxa"/>
          </w:tcPr>
          <w:p w14:paraId="2912D934" w14:textId="4AA3F22D" w:rsidR="00BB4AD7" w:rsidRDefault="002D015B">
            <w:pPr>
              <w:pStyle w:val="TableParagraph"/>
              <w:spacing w:before="54" w:line="240" w:lineRule="auto"/>
              <w:ind w:left="558" w:right="554"/>
              <w:jc w:val="center"/>
              <w:rPr>
                <w:sz w:val="20"/>
              </w:rPr>
            </w:pPr>
            <w:r>
              <w:rPr>
                <w:sz w:val="20"/>
              </w:rPr>
              <w:t>0.</w:t>
            </w:r>
            <w:r w:rsidR="0083565B">
              <w:rPr>
                <w:sz w:val="20"/>
              </w:rPr>
              <w:t>3</w:t>
            </w:r>
            <w:r>
              <w:rPr>
                <w:sz w:val="20"/>
              </w:rPr>
              <w:t>0</w:t>
            </w:r>
          </w:p>
        </w:tc>
        <w:tc>
          <w:tcPr>
            <w:tcW w:w="5369" w:type="dxa"/>
            <w:vMerge w:val="restart"/>
          </w:tcPr>
          <w:p w14:paraId="5323796E" w14:textId="77777777" w:rsidR="00BB4AD7" w:rsidRDefault="009E535A">
            <w:pPr>
              <w:pStyle w:val="TableParagraph"/>
              <w:spacing w:before="1" w:line="199" w:lineRule="exact"/>
              <w:ind w:left="113"/>
              <w:rPr>
                <w:sz w:val="18"/>
              </w:rPr>
            </w:pPr>
            <w:r>
              <w:rPr>
                <w:sz w:val="18"/>
              </w:rPr>
              <w:t xml:space="preserve">CPUC’s Resolution E-5082 and the </w:t>
            </w:r>
            <w:r w:rsidRPr="009E535A">
              <w:rPr>
                <w:i/>
                <w:iCs/>
                <w:sz w:val="18"/>
                <w:szCs w:val="18"/>
              </w:rPr>
              <w:t>Small/Medium Commercial Sector EM&amp;VPY2018</w:t>
            </w:r>
          </w:p>
        </w:tc>
      </w:tr>
      <w:tr w:rsidR="00BB4AD7" w14:paraId="7919EF7F" w14:textId="77777777">
        <w:trPr>
          <w:trHeight w:val="299"/>
        </w:trPr>
        <w:tc>
          <w:tcPr>
            <w:tcW w:w="2071" w:type="dxa"/>
          </w:tcPr>
          <w:p w14:paraId="0DF98824" w14:textId="77777777" w:rsidR="00BB4AD7" w:rsidRDefault="002D015B">
            <w:pPr>
              <w:pStyle w:val="TableParagraph"/>
              <w:spacing w:before="27" w:line="240" w:lineRule="auto"/>
              <w:ind w:left="115"/>
              <w:rPr>
                <w:sz w:val="20"/>
              </w:rPr>
            </w:pPr>
            <w:r>
              <w:rPr>
                <w:sz w:val="20"/>
              </w:rPr>
              <w:t>NTG – commercial</w:t>
            </w:r>
          </w:p>
        </w:tc>
        <w:tc>
          <w:tcPr>
            <w:tcW w:w="1620" w:type="dxa"/>
          </w:tcPr>
          <w:p w14:paraId="38E87371" w14:textId="0C225D3E" w:rsidR="00BB4AD7" w:rsidRDefault="002D015B">
            <w:pPr>
              <w:pStyle w:val="TableParagraph"/>
              <w:spacing w:before="27" w:line="240" w:lineRule="auto"/>
              <w:ind w:left="558" w:right="554"/>
              <w:jc w:val="center"/>
              <w:rPr>
                <w:sz w:val="20"/>
              </w:rPr>
            </w:pPr>
            <w:r>
              <w:rPr>
                <w:sz w:val="20"/>
              </w:rPr>
              <w:t>0.</w:t>
            </w:r>
            <w:r w:rsidR="0083565B">
              <w:rPr>
                <w:sz w:val="20"/>
              </w:rPr>
              <w:t>3</w:t>
            </w:r>
            <w:r>
              <w:rPr>
                <w:sz w:val="20"/>
              </w:rPr>
              <w:t>0</w:t>
            </w:r>
          </w:p>
        </w:tc>
        <w:tc>
          <w:tcPr>
            <w:tcW w:w="5369" w:type="dxa"/>
            <w:vMerge/>
            <w:tcBorders>
              <w:top w:val="nil"/>
            </w:tcBorders>
          </w:tcPr>
          <w:p w14:paraId="48A18FE4" w14:textId="77777777" w:rsidR="00BB4AD7" w:rsidRDefault="00BB4AD7">
            <w:pPr>
              <w:rPr>
                <w:sz w:val="2"/>
                <w:szCs w:val="2"/>
              </w:rPr>
            </w:pPr>
          </w:p>
        </w:tc>
      </w:tr>
    </w:tbl>
    <w:p w14:paraId="7305DAE3" w14:textId="77777777" w:rsidR="00BB4AD7" w:rsidRDefault="00BB4AD7">
      <w:pPr>
        <w:pStyle w:val="BodyText"/>
        <w:rPr>
          <w:sz w:val="20"/>
        </w:rPr>
      </w:pPr>
    </w:p>
    <w:p w14:paraId="42AB2B21" w14:textId="77777777" w:rsidR="00BB4AD7" w:rsidRDefault="00BB4AD7">
      <w:pPr>
        <w:pStyle w:val="BodyText"/>
        <w:spacing w:before="7"/>
      </w:pPr>
    </w:p>
    <w:p w14:paraId="3BA263C9" w14:textId="77777777" w:rsidR="00BB4AD7" w:rsidRDefault="002D015B">
      <w:pPr>
        <w:pStyle w:val="Heading1"/>
        <w:spacing w:before="1"/>
      </w:pPr>
      <w:bookmarkStart w:id="20" w:name="_Toc58850248"/>
      <w:r>
        <w:rPr>
          <w:color w:val="CFAB79"/>
        </w:rPr>
        <w:t>GSIA</w:t>
      </w:r>
      <w:bookmarkEnd w:id="20"/>
    </w:p>
    <w:p w14:paraId="2A857EAF" w14:textId="579D59F7" w:rsidR="00BB4AD7" w:rsidRPr="00DB0B09" w:rsidRDefault="002D015B" w:rsidP="00DB0B09">
      <w:pPr>
        <w:pStyle w:val="BodyText"/>
        <w:spacing w:before="114"/>
        <w:ind w:left="120" w:right="846"/>
      </w:pPr>
      <w:r>
        <w:t>The gross savings installation adjustment (GSIA) rate represents the ratio of the number of verified installations of the measure to the number of claimed installations reported by the utility. This factor</w:t>
      </w:r>
    </w:p>
    <w:p w14:paraId="5E59BD3D" w14:textId="77777777" w:rsidR="00BB4AD7" w:rsidRDefault="00DF23AD">
      <w:pPr>
        <w:pStyle w:val="BodyText"/>
        <w:spacing w:before="1"/>
        <w:rPr>
          <w:sz w:val="19"/>
        </w:rPr>
      </w:pPr>
      <w:r>
        <w:pict w14:anchorId="33BDB9CF">
          <v:rect id="_x0000_s1026" style="position:absolute;margin-left:1in;margin-top:13.6pt;width:2in;height:.7pt;z-index:-15725568;mso-wrap-distance-left:0;mso-wrap-distance-right:0;mso-position-horizontal-relative:page" fillcolor="black" stroked="f">
            <w10:wrap type="topAndBottom" anchorx="page"/>
          </v:rect>
        </w:pict>
      </w:r>
    </w:p>
    <w:p w14:paraId="32117E6E" w14:textId="77777777" w:rsidR="00BB4AD7" w:rsidRDefault="00BB4AD7">
      <w:pPr>
        <w:pStyle w:val="BodyText"/>
        <w:rPr>
          <w:sz w:val="20"/>
        </w:rPr>
      </w:pPr>
    </w:p>
    <w:p w14:paraId="642C217E" w14:textId="77777777" w:rsidR="00BB4AD7" w:rsidRDefault="00BB4AD7">
      <w:pPr>
        <w:pStyle w:val="BodyText"/>
      </w:pPr>
    </w:p>
    <w:p w14:paraId="0C0DCF52" w14:textId="7F5DB18C" w:rsidR="00BB4AD7" w:rsidRDefault="002D015B">
      <w:pPr>
        <w:spacing w:before="70"/>
        <w:ind w:left="120" w:right="581"/>
        <w:rPr>
          <w:sz w:val="18"/>
        </w:rPr>
      </w:pPr>
      <w:r>
        <w:rPr>
          <w:position w:val="5"/>
          <w:sz w:val="12"/>
        </w:rPr>
        <w:t xml:space="preserve">13 </w:t>
      </w:r>
      <w:r>
        <w:rPr>
          <w:sz w:val="18"/>
        </w:rPr>
        <w:t>RSMeans Engineering Department. 20</w:t>
      </w:r>
      <w:r w:rsidR="00687120">
        <w:rPr>
          <w:sz w:val="18"/>
        </w:rPr>
        <w:t>14</w:t>
      </w:r>
      <w:r>
        <w:rPr>
          <w:sz w:val="18"/>
        </w:rPr>
        <w:t xml:space="preserve">. </w:t>
      </w:r>
      <w:r>
        <w:rPr>
          <w:i/>
          <w:sz w:val="18"/>
        </w:rPr>
        <w:t>RSMeans Mechanical Cost Data 2014</w:t>
      </w:r>
      <w:r>
        <w:rPr>
          <w:sz w:val="18"/>
        </w:rPr>
        <w:t>. 37</w:t>
      </w:r>
      <w:r>
        <w:rPr>
          <w:position w:val="5"/>
          <w:sz w:val="12"/>
        </w:rPr>
        <w:t xml:space="preserve">th </w:t>
      </w:r>
      <w:r>
        <w:rPr>
          <w:sz w:val="18"/>
        </w:rPr>
        <w:t>Annual Edition. Section 26 29 23.10 Variable Frequency Drives/Adj. Frequency Drives.</w:t>
      </w:r>
    </w:p>
    <w:p w14:paraId="08D72986" w14:textId="77777777" w:rsidR="00BB4AD7" w:rsidRDefault="002D015B">
      <w:pPr>
        <w:spacing w:before="119"/>
        <w:ind w:left="120"/>
        <w:rPr>
          <w:sz w:val="18"/>
        </w:rPr>
      </w:pPr>
      <w:r>
        <w:rPr>
          <w:position w:val="5"/>
          <w:sz w:val="12"/>
        </w:rPr>
        <w:t xml:space="preserve">14 </w:t>
      </w:r>
      <w:r>
        <w:rPr>
          <w:sz w:val="18"/>
        </w:rPr>
        <w:t>Pacific Gas and Electric (PG&amp;E). 20</w:t>
      </w:r>
      <w:r w:rsidR="009E535A">
        <w:rPr>
          <w:sz w:val="18"/>
        </w:rPr>
        <w:t>20</w:t>
      </w:r>
      <w:r>
        <w:rPr>
          <w:sz w:val="18"/>
        </w:rPr>
        <w:t>. “VFD and Soft Starter Cost Data per hp.xlsx”.</w:t>
      </w:r>
    </w:p>
    <w:p w14:paraId="4160BE04" w14:textId="34704650" w:rsidR="00BB4AD7" w:rsidRDefault="002D015B">
      <w:pPr>
        <w:spacing w:before="121"/>
        <w:ind w:left="120" w:right="581"/>
        <w:rPr>
          <w:sz w:val="18"/>
        </w:rPr>
      </w:pPr>
      <w:r>
        <w:rPr>
          <w:position w:val="5"/>
          <w:sz w:val="12"/>
        </w:rPr>
        <w:t xml:space="preserve">15 </w:t>
      </w:r>
      <w:r>
        <w:rPr>
          <w:sz w:val="18"/>
        </w:rPr>
        <w:t>RSMeans Engineering Department. 20</w:t>
      </w:r>
      <w:r w:rsidR="00687120">
        <w:rPr>
          <w:sz w:val="18"/>
        </w:rPr>
        <w:t>14</w:t>
      </w:r>
      <w:r>
        <w:rPr>
          <w:sz w:val="18"/>
        </w:rPr>
        <w:t xml:space="preserve">. </w:t>
      </w:r>
      <w:r>
        <w:rPr>
          <w:i/>
          <w:sz w:val="18"/>
        </w:rPr>
        <w:t>RSMeans Mechanical Cost Data 2014</w:t>
      </w:r>
      <w:r>
        <w:rPr>
          <w:sz w:val="18"/>
        </w:rPr>
        <w:t>. 37</w:t>
      </w:r>
      <w:r>
        <w:rPr>
          <w:position w:val="5"/>
          <w:sz w:val="12"/>
        </w:rPr>
        <w:t xml:space="preserve">th </w:t>
      </w:r>
      <w:r>
        <w:rPr>
          <w:sz w:val="18"/>
        </w:rPr>
        <w:t>Annual Edition. Section 26 29 23.10 Variable Frequency Drives/Adj. Frequency Drives.</w:t>
      </w:r>
    </w:p>
    <w:p w14:paraId="37666C1B" w14:textId="77777777" w:rsidR="00BB4AD7" w:rsidRDefault="002D015B">
      <w:pPr>
        <w:spacing w:before="120"/>
        <w:ind w:left="120"/>
        <w:rPr>
          <w:sz w:val="18"/>
        </w:rPr>
      </w:pPr>
      <w:r>
        <w:rPr>
          <w:position w:val="5"/>
          <w:sz w:val="12"/>
        </w:rPr>
        <w:t xml:space="preserve">16 </w:t>
      </w:r>
      <w:r>
        <w:rPr>
          <w:sz w:val="18"/>
        </w:rPr>
        <w:t>Pacific Gas and Electric (PG&amp;E). 20</w:t>
      </w:r>
      <w:r w:rsidR="009E535A">
        <w:rPr>
          <w:sz w:val="18"/>
        </w:rPr>
        <w:t>20</w:t>
      </w:r>
      <w:r>
        <w:rPr>
          <w:sz w:val="18"/>
        </w:rPr>
        <w:t>. “VFD and Soft Starter Cost Data per hp.xlsx</w:t>
      </w:r>
    </w:p>
    <w:p w14:paraId="6F4E1AAD" w14:textId="77777777" w:rsidR="00BB4AD7" w:rsidRDefault="00BB4AD7">
      <w:pPr>
        <w:rPr>
          <w:sz w:val="18"/>
        </w:rPr>
        <w:sectPr w:rsidR="00BB4AD7">
          <w:pgSz w:w="12240" w:h="15840"/>
          <w:pgMar w:top="1220" w:right="1040" w:bottom="1320" w:left="1320" w:header="858" w:footer="1129" w:gutter="0"/>
          <w:cols w:space="720"/>
        </w:sectPr>
      </w:pPr>
    </w:p>
    <w:p w14:paraId="22625B02" w14:textId="77777777" w:rsidR="00BB4AD7" w:rsidRDefault="00BB4AD7">
      <w:pPr>
        <w:pStyle w:val="BodyText"/>
        <w:spacing w:before="10"/>
        <w:rPr>
          <w:sz w:val="19"/>
        </w:rPr>
      </w:pPr>
    </w:p>
    <w:p w14:paraId="324A0E74" w14:textId="77777777" w:rsidR="00BB4AD7" w:rsidRDefault="002D015B">
      <w:pPr>
        <w:pStyle w:val="BodyText"/>
        <w:spacing w:before="56"/>
        <w:ind w:left="120"/>
      </w:pPr>
      <w:r>
        <w:t>varies by end use, sector, technology, application, and delivery method. This GSIA rate is the current</w:t>
      </w:r>
    </w:p>
    <w:p w14:paraId="5E1950DB" w14:textId="77777777" w:rsidR="00BB4AD7" w:rsidRDefault="002D015B">
      <w:pPr>
        <w:pStyle w:val="BodyText"/>
        <w:spacing w:before="1"/>
        <w:ind w:left="120"/>
      </w:pPr>
      <w:r>
        <w:t>“default” rate specified for measures for which an alternative GSIA has not been estimated and approved.</w:t>
      </w:r>
    </w:p>
    <w:p w14:paraId="0C3FBDCC" w14:textId="77777777" w:rsidR="00BB4AD7" w:rsidRDefault="00BB4AD7">
      <w:pPr>
        <w:pStyle w:val="BodyText"/>
        <w:spacing w:before="2"/>
        <w:rPr>
          <w:sz w:val="23"/>
        </w:rPr>
      </w:pPr>
    </w:p>
    <w:p w14:paraId="04610598" w14:textId="77777777" w:rsidR="00BB4AD7" w:rsidRDefault="002D015B">
      <w:pPr>
        <w:ind w:left="120"/>
        <w:rPr>
          <w:sz w:val="20"/>
        </w:rPr>
      </w:pPr>
      <w:r>
        <w:rPr>
          <w:sz w:val="20"/>
        </w:rPr>
        <w:t>Gross Savings Installation Adjustments</w:t>
      </w:r>
    </w:p>
    <w:p w14:paraId="19203A77" w14:textId="77777777" w:rsidR="00BB4AD7" w:rsidRDefault="00BB4AD7">
      <w:pPr>
        <w:pStyle w:val="BodyText"/>
        <w:spacing w:before="5"/>
        <w:rPr>
          <w:sz w:val="6"/>
        </w:rPr>
      </w:pPr>
    </w:p>
    <w:tbl>
      <w:tblPr>
        <w:tblW w:w="0" w:type="auto"/>
        <w:tblInd w:w="125"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2191"/>
        <w:gridCol w:w="1620"/>
        <w:gridCol w:w="5369"/>
      </w:tblGrid>
      <w:tr w:rsidR="00BB4AD7" w14:paraId="2CE53A27" w14:textId="77777777">
        <w:trPr>
          <w:trHeight w:val="244"/>
        </w:trPr>
        <w:tc>
          <w:tcPr>
            <w:tcW w:w="2191" w:type="dxa"/>
            <w:shd w:val="clear" w:color="auto" w:fill="F1F1F1"/>
          </w:tcPr>
          <w:p w14:paraId="046F9B16" w14:textId="77777777" w:rsidR="00BB4AD7" w:rsidRDefault="002D015B">
            <w:pPr>
              <w:pStyle w:val="TableParagraph"/>
              <w:spacing w:before="1"/>
              <w:ind w:left="678"/>
              <w:rPr>
                <w:sz w:val="20"/>
              </w:rPr>
            </w:pPr>
            <w:r>
              <w:rPr>
                <w:sz w:val="20"/>
              </w:rPr>
              <w:t>Parameter</w:t>
            </w:r>
          </w:p>
        </w:tc>
        <w:tc>
          <w:tcPr>
            <w:tcW w:w="1620" w:type="dxa"/>
            <w:shd w:val="clear" w:color="auto" w:fill="F1F1F1"/>
          </w:tcPr>
          <w:p w14:paraId="489D42C7" w14:textId="77777777" w:rsidR="00BB4AD7" w:rsidRDefault="002D015B">
            <w:pPr>
              <w:pStyle w:val="TableParagraph"/>
              <w:spacing w:before="1"/>
              <w:ind w:left="563" w:right="554"/>
              <w:jc w:val="center"/>
              <w:rPr>
                <w:sz w:val="20"/>
              </w:rPr>
            </w:pPr>
            <w:r>
              <w:rPr>
                <w:sz w:val="20"/>
              </w:rPr>
              <w:t>Value</w:t>
            </w:r>
          </w:p>
        </w:tc>
        <w:tc>
          <w:tcPr>
            <w:tcW w:w="5369" w:type="dxa"/>
            <w:shd w:val="clear" w:color="auto" w:fill="F1F1F1"/>
          </w:tcPr>
          <w:p w14:paraId="5417B771" w14:textId="77777777" w:rsidR="00BB4AD7" w:rsidRDefault="002D015B">
            <w:pPr>
              <w:pStyle w:val="TableParagraph"/>
              <w:spacing w:before="1"/>
              <w:ind w:left="2389" w:right="2378"/>
              <w:jc w:val="center"/>
              <w:rPr>
                <w:sz w:val="20"/>
              </w:rPr>
            </w:pPr>
            <w:r>
              <w:rPr>
                <w:sz w:val="20"/>
              </w:rPr>
              <w:t>Source</w:t>
            </w:r>
          </w:p>
        </w:tc>
      </w:tr>
      <w:tr w:rsidR="00BB4AD7" w14:paraId="7ECA8F01" w14:textId="77777777">
        <w:trPr>
          <w:trHeight w:val="438"/>
        </w:trPr>
        <w:tc>
          <w:tcPr>
            <w:tcW w:w="2191" w:type="dxa"/>
          </w:tcPr>
          <w:p w14:paraId="70F4A44F" w14:textId="77777777" w:rsidR="00BB4AD7" w:rsidRDefault="002D015B">
            <w:pPr>
              <w:pStyle w:val="TableParagraph"/>
              <w:spacing w:before="97" w:line="240" w:lineRule="auto"/>
              <w:ind w:left="115"/>
              <w:rPr>
                <w:sz w:val="20"/>
              </w:rPr>
            </w:pPr>
            <w:r>
              <w:rPr>
                <w:sz w:val="20"/>
              </w:rPr>
              <w:t>GSIA</w:t>
            </w:r>
          </w:p>
        </w:tc>
        <w:tc>
          <w:tcPr>
            <w:tcW w:w="1620" w:type="dxa"/>
          </w:tcPr>
          <w:p w14:paraId="7450691A" w14:textId="77777777" w:rsidR="00BB4AD7" w:rsidRDefault="002D015B">
            <w:pPr>
              <w:pStyle w:val="TableParagraph"/>
              <w:spacing w:before="97" w:line="240" w:lineRule="auto"/>
              <w:ind w:left="557" w:right="554"/>
              <w:jc w:val="center"/>
              <w:rPr>
                <w:sz w:val="20"/>
              </w:rPr>
            </w:pPr>
            <w:r>
              <w:rPr>
                <w:sz w:val="20"/>
              </w:rPr>
              <w:t>1.0</w:t>
            </w:r>
          </w:p>
        </w:tc>
        <w:tc>
          <w:tcPr>
            <w:tcW w:w="5369" w:type="dxa"/>
          </w:tcPr>
          <w:p w14:paraId="4BDCF4C5" w14:textId="77777777" w:rsidR="00BB4AD7" w:rsidRDefault="002D015B">
            <w:pPr>
              <w:pStyle w:val="TableParagraph"/>
              <w:spacing w:before="0" w:line="219" w:lineRule="exact"/>
              <w:ind w:left="113"/>
              <w:rPr>
                <w:sz w:val="18"/>
              </w:rPr>
            </w:pPr>
            <w:r>
              <w:rPr>
                <w:sz w:val="18"/>
              </w:rPr>
              <w:t>California Public Utilities Commission (CPUC), Energy Division. 20</w:t>
            </w:r>
            <w:r w:rsidR="009E535A">
              <w:rPr>
                <w:sz w:val="18"/>
              </w:rPr>
              <w:t>20</w:t>
            </w:r>
            <w:r>
              <w:rPr>
                <w:sz w:val="18"/>
              </w:rPr>
              <w:t>.</w:t>
            </w:r>
          </w:p>
          <w:p w14:paraId="76A6F9D0" w14:textId="77777777" w:rsidR="00BB4AD7" w:rsidRDefault="002D015B">
            <w:pPr>
              <w:pStyle w:val="TableParagraph"/>
              <w:spacing w:before="1" w:line="199" w:lineRule="exact"/>
              <w:ind w:left="113"/>
              <w:rPr>
                <w:sz w:val="18"/>
              </w:rPr>
            </w:pPr>
            <w:r>
              <w:rPr>
                <w:i/>
                <w:sz w:val="18"/>
              </w:rPr>
              <w:t xml:space="preserve">Energy Efficiency Policy Manual Version </w:t>
            </w:r>
            <w:r w:rsidR="009E535A">
              <w:rPr>
                <w:i/>
                <w:sz w:val="18"/>
              </w:rPr>
              <w:t>6</w:t>
            </w:r>
            <w:r>
              <w:rPr>
                <w:sz w:val="18"/>
              </w:rPr>
              <w:t>.</w:t>
            </w:r>
          </w:p>
        </w:tc>
      </w:tr>
    </w:tbl>
    <w:p w14:paraId="3BDD0FAD" w14:textId="77777777" w:rsidR="00BB4AD7" w:rsidRDefault="00BB4AD7">
      <w:pPr>
        <w:pStyle w:val="BodyText"/>
        <w:rPr>
          <w:sz w:val="20"/>
        </w:rPr>
      </w:pPr>
    </w:p>
    <w:p w14:paraId="2AAF327F" w14:textId="77777777" w:rsidR="00BB4AD7" w:rsidRDefault="00BB4AD7">
      <w:pPr>
        <w:pStyle w:val="BodyText"/>
        <w:spacing w:before="8"/>
        <w:rPr>
          <w:sz w:val="20"/>
        </w:rPr>
      </w:pPr>
    </w:p>
    <w:p w14:paraId="1E30F307" w14:textId="77777777" w:rsidR="00BB4AD7" w:rsidRDefault="002D015B">
      <w:pPr>
        <w:pStyle w:val="Heading1"/>
        <w:spacing w:before="1"/>
      </w:pPr>
      <w:bookmarkStart w:id="21" w:name="_Toc58850249"/>
      <w:r>
        <w:rPr>
          <w:color w:val="CFAB79"/>
        </w:rPr>
        <w:t>NON-ENERGY IMPACTS</w:t>
      </w:r>
      <w:bookmarkEnd w:id="21"/>
    </w:p>
    <w:p w14:paraId="56E8128E" w14:textId="77777777" w:rsidR="00BB4AD7" w:rsidRDefault="002D015B">
      <w:pPr>
        <w:pStyle w:val="BodyText"/>
        <w:spacing w:before="114"/>
        <w:ind w:left="120"/>
      </w:pPr>
      <w:r>
        <w:t>Non-energy impacts for this measure have not been quantified.</w:t>
      </w:r>
    </w:p>
    <w:p w14:paraId="201CC893" w14:textId="77777777" w:rsidR="00BB4AD7" w:rsidRDefault="00BB4AD7">
      <w:pPr>
        <w:pStyle w:val="BodyText"/>
      </w:pPr>
    </w:p>
    <w:p w14:paraId="0B4773F7" w14:textId="77777777" w:rsidR="00BB4AD7" w:rsidRDefault="00BB4AD7">
      <w:pPr>
        <w:pStyle w:val="BodyText"/>
        <w:spacing w:before="10"/>
        <w:rPr>
          <w:sz w:val="18"/>
        </w:rPr>
      </w:pPr>
    </w:p>
    <w:p w14:paraId="4F3885EC" w14:textId="77777777" w:rsidR="00BB4AD7" w:rsidRDefault="002D015B">
      <w:pPr>
        <w:pStyle w:val="Heading1"/>
      </w:pPr>
      <w:bookmarkStart w:id="22" w:name="_Toc58850250"/>
      <w:r>
        <w:rPr>
          <w:color w:val="CFAB79"/>
        </w:rPr>
        <w:t>DEER DIFFERENCES ANALYSIS</w:t>
      </w:r>
      <w:bookmarkEnd w:id="22"/>
    </w:p>
    <w:p w14:paraId="46769B9B" w14:textId="77777777" w:rsidR="00BB4AD7" w:rsidRDefault="002D015B">
      <w:pPr>
        <w:pStyle w:val="BodyText"/>
        <w:spacing w:before="112"/>
        <w:ind w:left="120" w:right="804"/>
      </w:pPr>
      <w:r>
        <w:t>This section provides a summary of DEER-based inputs and methods, and the rationale for inputs and methods that are not DEER-based.</w:t>
      </w:r>
    </w:p>
    <w:p w14:paraId="4F3C603A" w14:textId="77777777" w:rsidR="00BB4AD7" w:rsidRDefault="00BB4AD7">
      <w:pPr>
        <w:pStyle w:val="BodyText"/>
        <w:spacing w:before="3"/>
        <w:rPr>
          <w:sz w:val="23"/>
        </w:rPr>
      </w:pPr>
    </w:p>
    <w:p w14:paraId="5A445F85" w14:textId="77777777" w:rsidR="00BB4AD7" w:rsidRDefault="002D015B">
      <w:pPr>
        <w:ind w:left="120"/>
        <w:rPr>
          <w:sz w:val="20"/>
        </w:rPr>
      </w:pPr>
      <w:r>
        <w:rPr>
          <w:sz w:val="20"/>
        </w:rPr>
        <w:t>DEER Difference Summary</w:t>
      </w:r>
    </w:p>
    <w:p w14:paraId="0C1151FA" w14:textId="77777777" w:rsidR="00BB4AD7" w:rsidRDefault="00BB4AD7">
      <w:pPr>
        <w:pStyle w:val="BodyText"/>
        <w:spacing w:before="5"/>
        <w:rPr>
          <w:sz w:val="6"/>
        </w:rPr>
      </w:pPr>
    </w:p>
    <w:tbl>
      <w:tblPr>
        <w:tblW w:w="0" w:type="auto"/>
        <w:tblInd w:w="13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2785"/>
        <w:gridCol w:w="6664"/>
      </w:tblGrid>
      <w:tr w:rsidR="00BB4AD7" w14:paraId="135375D6" w14:textId="77777777">
        <w:trPr>
          <w:trHeight w:val="285"/>
        </w:trPr>
        <w:tc>
          <w:tcPr>
            <w:tcW w:w="2785" w:type="dxa"/>
            <w:shd w:val="clear" w:color="auto" w:fill="F1F1F1"/>
          </w:tcPr>
          <w:p w14:paraId="0F82A370" w14:textId="77777777" w:rsidR="00BB4AD7" w:rsidRDefault="002D015B">
            <w:pPr>
              <w:pStyle w:val="TableParagraph"/>
              <w:spacing w:before="20" w:line="240" w:lineRule="auto"/>
              <w:ind w:left="115"/>
              <w:rPr>
                <w:sz w:val="20"/>
              </w:rPr>
            </w:pPr>
            <w:r>
              <w:rPr>
                <w:sz w:val="20"/>
              </w:rPr>
              <w:t>DEER Item</w:t>
            </w:r>
          </w:p>
        </w:tc>
        <w:tc>
          <w:tcPr>
            <w:tcW w:w="6664" w:type="dxa"/>
            <w:shd w:val="clear" w:color="auto" w:fill="F1F1F1"/>
          </w:tcPr>
          <w:p w14:paraId="21C4BB55" w14:textId="77777777" w:rsidR="00BB4AD7" w:rsidRDefault="002D015B">
            <w:pPr>
              <w:pStyle w:val="TableParagraph"/>
              <w:spacing w:before="20" w:line="240" w:lineRule="auto"/>
              <w:ind w:left="114"/>
              <w:rPr>
                <w:sz w:val="20"/>
              </w:rPr>
            </w:pPr>
            <w:r>
              <w:rPr>
                <w:sz w:val="20"/>
              </w:rPr>
              <w:t>Comment / Used for Workpaper</w:t>
            </w:r>
          </w:p>
        </w:tc>
      </w:tr>
      <w:tr w:rsidR="00BB4AD7" w14:paraId="12BC2D36" w14:textId="77777777">
        <w:trPr>
          <w:trHeight w:val="282"/>
        </w:trPr>
        <w:tc>
          <w:tcPr>
            <w:tcW w:w="2785" w:type="dxa"/>
          </w:tcPr>
          <w:p w14:paraId="03DC50F0" w14:textId="77777777" w:rsidR="00BB4AD7" w:rsidRDefault="002D015B">
            <w:pPr>
              <w:pStyle w:val="TableParagraph"/>
              <w:spacing w:before="20" w:line="242" w:lineRule="exact"/>
              <w:ind w:left="115"/>
              <w:rPr>
                <w:sz w:val="20"/>
              </w:rPr>
            </w:pPr>
            <w:r>
              <w:rPr>
                <w:sz w:val="20"/>
              </w:rPr>
              <w:t>Modified DEER methodology</w:t>
            </w:r>
          </w:p>
        </w:tc>
        <w:tc>
          <w:tcPr>
            <w:tcW w:w="6664" w:type="dxa"/>
          </w:tcPr>
          <w:p w14:paraId="3619B186" w14:textId="77777777" w:rsidR="00BB4AD7" w:rsidRDefault="002D015B">
            <w:pPr>
              <w:pStyle w:val="TableParagraph"/>
              <w:spacing w:before="20" w:line="242" w:lineRule="exact"/>
              <w:ind w:left="114"/>
              <w:rPr>
                <w:sz w:val="20"/>
              </w:rPr>
            </w:pPr>
            <w:r>
              <w:rPr>
                <w:sz w:val="20"/>
              </w:rPr>
              <w:t>No</w:t>
            </w:r>
          </w:p>
        </w:tc>
      </w:tr>
      <w:tr w:rsidR="00BB4AD7" w14:paraId="17097679" w14:textId="77777777">
        <w:trPr>
          <w:trHeight w:val="285"/>
        </w:trPr>
        <w:tc>
          <w:tcPr>
            <w:tcW w:w="2785" w:type="dxa"/>
          </w:tcPr>
          <w:p w14:paraId="581F27B0" w14:textId="77777777" w:rsidR="00BB4AD7" w:rsidRDefault="002D015B">
            <w:pPr>
              <w:pStyle w:val="TableParagraph"/>
              <w:spacing w:before="20" w:line="240" w:lineRule="auto"/>
              <w:ind w:left="115"/>
              <w:rPr>
                <w:sz w:val="20"/>
              </w:rPr>
            </w:pPr>
            <w:r>
              <w:rPr>
                <w:sz w:val="20"/>
              </w:rPr>
              <w:t>Scaled DEER measure</w:t>
            </w:r>
          </w:p>
        </w:tc>
        <w:tc>
          <w:tcPr>
            <w:tcW w:w="6664" w:type="dxa"/>
          </w:tcPr>
          <w:p w14:paraId="3E42782F" w14:textId="77777777" w:rsidR="00BB4AD7" w:rsidRDefault="002D015B">
            <w:pPr>
              <w:pStyle w:val="TableParagraph"/>
              <w:spacing w:before="20" w:line="240" w:lineRule="auto"/>
              <w:ind w:left="114"/>
              <w:rPr>
                <w:sz w:val="20"/>
              </w:rPr>
            </w:pPr>
            <w:r>
              <w:rPr>
                <w:sz w:val="20"/>
              </w:rPr>
              <w:t>No</w:t>
            </w:r>
          </w:p>
        </w:tc>
      </w:tr>
      <w:tr w:rsidR="00BB4AD7" w14:paraId="042E8ABD" w14:textId="77777777">
        <w:trPr>
          <w:trHeight w:val="282"/>
        </w:trPr>
        <w:tc>
          <w:tcPr>
            <w:tcW w:w="2785" w:type="dxa"/>
          </w:tcPr>
          <w:p w14:paraId="6112B9CD" w14:textId="77777777" w:rsidR="00BB4AD7" w:rsidRDefault="002D015B">
            <w:pPr>
              <w:pStyle w:val="TableParagraph"/>
              <w:spacing w:before="20" w:line="242" w:lineRule="exact"/>
              <w:ind w:left="115"/>
              <w:rPr>
                <w:sz w:val="20"/>
              </w:rPr>
            </w:pPr>
            <w:r>
              <w:rPr>
                <w:sz w:val="20"/>
              </w:rPr>
              <w:t>DEER Building Prototypes Used</w:t>
            </w:r>
          </w:p>
        </w:tc>
        <w:tc>
          <w:tcPr>
            <w:tcW w:w="6664" w:type="dxa"/>
          </w:tcPr>
          <w:p w14:paraId="266ED001" w14:textId="77777777" w:rsidR="00BB4AD7" w:rsidRDefault="002D015B">
            <w:pPr>
              <w:pStyle w:val="TableParagraph"/>
              <w:spacing w:before="20" w:line="242" w:lineRule="exact"/>
              <w:ind w:left="114"/>
              <w:rPr>
                <w:sz w:val="20"/>
              </w:rPr>
            </w:pPr>
            <w:r>
              <w:rPr>
                <w:sz w:val="20"/>
              </w:rPr>
              <w:t>No</w:t>
            </w:r>
          </w:p>
        </w:tc>
      </w:tr>
      <w:tr w:rsidR="00BB4AD7" w14:paraId="25D7CDD1" w14:textId="77777777">
        <w:trPr>
          <w:trHeight w:val="285"/>
        </w:trPr>
        <w:tc>
          <w:tcPr>
            <w:tcW w:w="2785" w:type="dxa"/>
          </w:tcPr>
          <w:p w14:paraId="088D1602" w14:textId="77777777" w:rsidR="00BB4AD7" w:rsidRDefault="002D015B">
            <w:pPr>
              <w:pStyle w:val="TableParagraph"/>
              <w:spacing w:before="20" w:line="240" w:lineRule="auto"/>
              <w:ind w:left="115"/>
              <w:rPr>
                <w:sz w:val="20"/>
              </w:rPr>
            </w:pPr>
            <w:r>
              <w:rPr>
                <w:sz w:val="20"/>
              </w:rPr>
              <w:t>DEER Version</w:t>
            </w:r>
          </w:p>
        </w:tc>
        <w:tc>
          <w:tcPr>
            <w:tcW w:w="6664" w:type="dxa"/>
          </w:tcPr>
          <w:p w14:paraId="2791F7AF" w14:textId="2CA1136B" w:rsidR="00BB4AD7" w:rsidRDefault="002D015B">
            <w:pPr>
              <w:pStyle w:val="TableParagraph"/>
              <w:spacing w:before="20" w:line="240" w:lineRule="auto"/>
              <w:ind w:left="114"/>
              <w:rPr>
                <w:sz w:val="20"/>
              </w:rPr>
            </w:pPr>
            <w:r>
              <w:rPr>
                <w:sz w:val="20"/>
              </w:rPr>
              <w:t>DEER 20</w:t>
            </w:r>
            <w:r w:rsidR="00982E4F">
              <w:rPr>
                <w:sz w:val="20"/>
              </w:rPr>
              <w:t>2</w:t>
            </w:r>
            <w:r w:rsidR="00BE2A35">
              <w:rPr>
                <w:sz w:val="20"/>
              </w:rPr>
              <w:t>2</w:t>
            </w:r>
            <w:r>
              <w:rPr>
                <w:sz w:val="20"/>
              </w:rPr>
              <w:t>, READi v2.</w:t>
            </w:r>
            <w:r w:rsidR="00982E4F">
              <w:rPr>
                <w:sz w:val="20"/>
              </w:rPr>
              <w:t>5</w:t>
            </w:r>
            <w:r>
              <w:rPr>
                <w:sz w:val="20"/>
              </w:rPr>
              <w:t>.</w:t>
            </w:r>
            <w:r w:rsidR="00982E4F">
              <w:rPr>
                <w:sz w:val="20"/>
              </w:rPr>
              <w:t>1</w:t>
            </w:r>
          </w:p>
        </w:tc>
      </w:tr>
      <w:tr w:rsidR="00BB4AD7" w14:paraId="2BA2920D" w14:textId="77777777">
        <w:trPr>
          <w:trHeight w:val="282"/>
        </w:trPr>
        <w:tc>
          <w:tcPr>
            <w:tcW w:w="2785" w:type="dxa"/>
          </w:tcPr>
          <w:p w14:paraId="62FF8B36" w14:textId="77777777" w:rsidR="00BB4AD7" w:rsidRDefault="002D015B">
            <w:pPr>
              <w:pStyle w:val="TableParagraph"/>
              <w:spacing w:before="20" w:line="242" w:lineRule="exact"/>
              <w:ind w:left="115"/>
              <w:rPr>
                <w:sz w:val="20"/>
              </w:rPr>
            </w:pPr>
            <w:r>
              <w:rPr>
                <w:sz w:val="20"/>
              </w:rPr>
              <w:t>DEER Run ID</w:t>
            </w:r>
          </w:p>
        </w:tc>
        <w:tc>
          <w:tcPr>
            <w:tcW w:w="6664" w:type="dxa"/>
          </w:tcPr>
          <w:p w14:paraId="008C90FB" w14:textId="77777777" w:rsidR="00BB4AD7" w:rsidRDefault="002D015B">
            <w:pPr>
              <w:pStyle w:val="TableParagraph"/>
              <w:spacing w:before="20" w:line="242" w:lineRule="exact"/>
              <w:ind w:left="114"/>
              <w:rPr>
                <w:sz w:val="20"/>
              </w:rPr>
            </w:pPr>
            <w:r>
              <w:rPr>
                <w:sz w:val="20"/>
              </w:rPr>
              <w:t>IR006, IR007</w:t>
            </w:r>
          </w:p>
        </w:tc>
      </w:tr>
      <w:tr w:rsidR="00BB4AD7" w14:paraId="13C18B83" w14:textId="77777777">
        <w:trPr>
          <w:trHeight w:val="530"/>
        </w:trPr>
        <w:tc>
          <w:tcPr>
            <w:tcW w:w="2785" w:type="dxa"/>
          </w:tcPr>
          <w:p w14:paraId="16C9BE4A" w14:textId="77777777" w:rsidR="00BB4AD7" w:rsidRDefault="002D015B">
            <w:pPr>
              <w:pStyle w:val="TableParagraph"/>
              <w:spacing w:before="23" w:line="240" w:lineRule="auto"/>
              <w:ind w:left="115"/>
              <w:rPr>
                <w:sz w:val="20"/>
              </w:rPr>
            </w:pPr>
            <w:r>
              <w:rPr>
                <w:sz w:val="20"/>
              </w:rPr>
              <w:t>NTG</w:t>
            </w:r>
          </w:p>
        </w:tc>
        <w:tc>
          <w:tcPr>
            <w:tcW w:w="6664" w:type="dxa"/>
          </w:tcPr>
          <w:p w14:paraId="5495D963" w14:textId="50D025F5" w:rsidR="00BB4AD7" w:rsidRDefault="002D015B">
            <w:pPr>
              <w:pStyle w:val="TableParagraph"/>
              <w:spacing w:before="23" w:line="240" w:lineRule="atLeast"/>
              <w:ind w:left="114" w:right="1012"/>
              <w:rPr>
                <w:i/>
                <w:sz w:val="20"/>
              </w:rPr>
            </w:pPr>
            <w:r>
              <w:rPr>
                <w:sz w:val="20"/>
              </w:rPr>
              <w:t xml:space="preserve">Source: </w:t>
            </w:r>
            <w:r w:rsidR="00982E4F">
              <w:rPr>
                <w:sz w:val="20"/>
              </w:rPr>
              <w:t>Resolution E-5082</w:t>
            </w:r>
            <w:r>
              <w:rPr>
                <w:sz w:val="20"/>
              </w:rPr>
              <w:t>. The NTG of 0.</w:t>
            </w:r>
            <w:r w:rsidR="00997DFF">
              <w:rPr>
                <w:sz w:val="20"/>
              </w:rPr>
              <w:t>3</w:t>
            </w:r>
            <w:r>
              <w:rPr>
                <w:sz w:val="20"/>
              </w:rPr>
              <w:t xml:space="preserve">0 is associated with NTG ID: </w:t>
            </w:r>
            <w:r w:rsidR="00D843CA">
              <w:rPr>
                <w:i/>
                <w:sz w:val="20"/>
              </w:rPr>
              <w:t>NonRes-sAg-Irrig</w:t>
            </w:r>
          </w:p>
        </w:tc>
      </w:tr>
      <w:tr w:rsidR="00BB4AD7" w14:paraId="24D102B9" w14:textId="77777777">
        <w:trPr>
          <w:trHeight w:val="306"/>
        </w:trPr>
        <w:tc>
          <w:tcPr>
            <w:tcW w:w="2785" w:type="dxa"/>
          </w:tcPr>
          <w:p w14:paraId="0311E8FA" w14:textId="77777777" w:rsidR="00BB4AD7" w:rsidRDefault="002D015B">
            <w:pPr>
              <w:pStyle w:val="TableParagraph"/>
              <w:spacing w:before="20" w:line="240" w:lineRule="auto"/>
              <w:ind w:left="115"/>
              <w:rPr>
                <w:sz w:val="20"/>
              </w:rPr>
            </w:pPr>
            <w:r>
              <w:rPr>
                <w:sz w:val="20"/>
              </w:rPr>
              <w:t>GSIA</w:t>
            </w:r>
          </w:p>
        </w:tc>
        <w:tc>
          <w:tcPr>
            <w:tcW w:w="6664" w:type="dxa"/>
          </w:tcPr>
          <w:p w14:paraId="61235DC4" w14:textId="1A2DFFBC" w:rsidR="00BB4AD7" w:rsidRDefault="002D015B">
            <w:pPr>
              <w:pStyle w:val="TableParagraph"/>
              <w:spacing w:before="20" w:line="266" w:lineRule="exact"/>
              <w:ind w:left="114"/>
              <w:rPr>
                <w:i/>
              </w:rPr>
            </w:pPr>
            <w:r>
              <w:rPr>
                <w:sz w:val="20"/>
              </w:rPr>
              <w:t>Source: DEER</w:t>
            </w:r>
            <w:r w:rsidR="00BE2A35">
              <w:rPr>
                <w:sz w:val="20"/>
              </w:rPr>
              <w:t>2022</w:t>
            </w:r>
            <w:r>
              <w:rPr>
                <w:sz w:val="20"/>
              </w:rPr>
              <w:t xml:space="preserve">. The GSIA of 1.0 is associated with GSIA ID: </w:t>
            </w:r>
            <w:r>
              <w:rPr>
                <w:i/>
              </w:rPr>
              <w:t>Def-GSIA</w:t>
            </w:r>
          </w:p>
        </w:tc>
      </w:tr>
      <w:tr w:rsidR="00BB4AD7" w14:paraId="670BAC13" w14:textId="77777777">
        <w:trPr>
          <w:trHeight w:val="530"/>
        </w:trPr>
        <w:tc>
          <w:tcPr>
            <w:tcW w:w="2785" w:type="dxa"/>
          </w:tcPr>
          <w:p w14:paraId="01622783" w14:textId="77777777" w:rsidR="00BB4AD7" w:rsidRDefault="002D015B">
            <w:pPr>
              <w:pStyle w:val="TableParagraph"/>
              <w:spacing w:before="23" w:line="240" w:lineRule="auto"/>
              <w:ind w:left="115"/>
              <w:rPr>
                <w:sz w:val="20"/>
              </w:rPr>
            </w:pPr>
            <w:r>
              <w:rPr>
                <w:sz w:val="20"/>
              </w:rPr>
              <w:t>EUL/RUL</w:t>
            </w:r>
          </w:p>
        </w:tc>
        <w:tc>
          <w:tcPr>
            <w:tcW w:w="6664" w:type="dxa"/>
          </w:tcPr>
          <w:p w14:paraId="2D9277D3" w14:textId="150741C1" w:rsidR="00BB4AD7" w:rsidRDefault="002D015B">
            <w:pPr>
              <w:pStyle w:val="TableParagraph"/>
              <w:spacing w:before="23" w:line="240" w:lineRule="atLeast"/>
              <w:ind w:left="114" w:right="733"/>
              <w:rPr>
                <w:sz w:val="20"/>
              </w:rPr>
            </w:pPr>
            <w:r>
              <w:rPr>
                <w:sz w:val="20"/>
              </w:rPr>
              <w:t>Source: DEER 20</w:t>
            </w:r>
            <w:r w:rsidR="00982E4F">
              <w:rPr>
                <w:sz w:val="20"/>
              </w:rPr>
              <w:t>2</w:t>
            </w:r>
            <w:r w:rsidR="006B57C0">
              <w:rPr>
                <w:sz w:val="20"/>
              </w:rPr>
              <w:t>2</w:t>
            </w:r>
            <w:r>
              <w:rPr>
                <w:sz w:val="20"/>
              </w:rPr>
              <w:t xml:space="preserve">. The value of 10 years is associated with EUL ID: </w:t>
            </w:r>
            <w:r>
              <w:rPr>
                <w:i/>
                <w:sz w:val="20"/>
              </w:rPr>
              <w:t>Agr- VSDWellPmp</w:t>
            </w:r>
            <w:r>
              <w:rPr>
                <w:sz w:val="20"/>
              </w:rPr>
              <w:t>.</w:t>
            </w:r>
          </w:p>
        </w:tc>
      </w:tr>
    </w:tbl>
    <w:p w14:paraId="45D532C0" w14:textId="77777777" w:rsidR="00BB4AD7" w:rsidRDefault="00BB4AD7">
      <w:pPr>
        <w:pStyle w:val="BodyText"/>
        <w:rPr>
          <w:sz w:val="20"/>
        </w:rPr>
      </w:pPr>
    </w:p>
    <w:p w14:paraId="1F08C9D1" w14:textId="77777777" w:rsidR="00BB4AD7" w:rsidRDefault="00BB4AD7">
      <w:pPr>
        <w:pStyle w:val="BodyText"/>
        <w:spacing w:before="8"/>
      </w:pPr>
    </w:p>
    <w:p w14:paraId="2F331724" w14:textId="77777777" w:rsidR="00BB4AD7" w:rsidRDefault="002D015B">
      <w:pPr>
        <w:pStyle w:val="Heading1"/>
      </w:pPr>
      <w:bookmarkStart w:id="23" w:name="_Toc58850251"/>
      <w:r>
        <w:rPr>
          <w:color w:val="CFAB79"/>
        </w:rPr>
        <w:t>REVISION HISTORY</w:t>
      </w:r>
      <w:bookmarkEnd w:id="23"/>
    </w:p>
    <w:p w14:paraId="560B8D1A" w14:textId="77777777" w:rsidR="00BB4AD7" w:rsidRDefault="00BB4AD7">
      <w:pPr>
        <w:pStyle w:val="BodyText"/>
        <w:spacing w:before="9"/>
      </w:pPr>
    </w:p>
    <w:p w14:paraId="14311429" w14:textId="77777777" w:rsidR="00BB4AD7" w:rsidRDefault="002D015B">
      <w:pPr>
        <w:ind w:left="120"/>
        <w:rPr>
          <w:sz w:val="20"/>
        </w:rPr>
      </w:pPr>
      <w:r>
        <w:rPr>
          <w:sz w:val="20"/>
        </w:rPr>
        <w:t>Measure Characterization Revision History</w:t>
      </w:r>
    </w:p>
    <w:p w14:paraId="39DF2A15" w14:textId="77777777" w:rsidR="00BB4AD7" w:rsidRDefault="00BB4AD7">
      <w:pPr>
        <w:pStyle w:val="BodyText"/>
        <w:spacing w:before="3"/>
        <w:rPr>
          <w:sz w:val="6"/>
        </w:rPr>
      </w:pPr>
    </w:p>
    <w:tbl>
      <w:tblPr>
        <w:tblW w:w="0" w:type="auto"/>
        <w:tblInd w:w="13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941"/>
        <w:gridCol w:w="1575"/>
        <w:gridCol w:w="1712"/>
        <w:gridCol w:w="5125"/>
      </w:tblGrid>
      <w:tr w:rsidR="00BB4AD7" w14:paraId="06E01989" w14:textId="77777777">
        <w:trPr>
          <w:trHeight w:val="530"/>
        </w:trPr>
        <w:tc>
          <w:tcPr>
            <w:tcW w:w="941" w:type="dxa"/>
            <w:shd w:val="clear" w:color="auto" w:fill="F1F1F1"/>
          </w:tcPr>
          <w:p w14:paraId="415E4284" w14:textId="77777777" w:rsidR="00BB4AD7" w:rsidRDefault="002D015B">
            <w:pPr>
              <w:pStyle w:val="TableParagraph"/>
              <w:spacing w:before="23" w:line="240" w:lineRule="atLeast"/>
              <w:ind w:left="115"/>
              <w:rPr>
                <w:sz w:val="20"/>
              </w:rPr>
            </w:pPr>
            <w:r>
              <w:rPr>
                <w:w w:val="95"/>
                <w:sz w:val="20"/>
              </w:rPr>
              <w:t xml:space="preserve">Revision </w:t>
            </w:r>
            <w:r>
              <w:rPr>
                <w:sz w:val="20"/>
              </w:rPr>
              <w:t>Number</w:t>
            </w:r>
          </w:p>
        </w:tc>
        <w:tc>
          <w:tcPr>
            <w:tcW w:w="1575" w:type="dxa"/>
            <w:shd w:val="clear" w:color="auto" w:fill="F1F1F1"/>
          </w:tcPr>
          <w:p w14:paraId="582AA874" w14:textId="77777777" w:rsidR="00BB4AD7" w:rsidRDefault="002D015B">
            <w:pPr>
              <w:pStyle w:val="TableParagraph"/>
              <w:spacing w:before="23" w:line="240" w:lineRule="atLeast"/>
              <w:ind w:left="114" w:right="22"/>
              <w:rPr>
                <w:sz w:val="20"/>
              </w:rPr>
            </w:pPr>
            <w:r>
              <w:rPr>
                <w:sz w:val="20"/>
              </w:rPr>
              <w:t>Revision Complete Date</w:t>
            </w:r>
          </w:p>
        </w:tc>
        <w:tc>
          <w:tcPr>
            <w:tcW w:w="1712" w:type="dxa"/>
            <w:shd w:val="clear" w:color="auto" w:fill="F1F1F1"/>
          </w:tcPr>
          <w:p w14:paraId="778D568F" w14:textId="77777777" w:rsidR="00BB4AD7" w:rsidRDefault="002D015B">
            <w:pPr>
              <w:pStyle w:val="TableParagraph"/>
              <w:spacing w:before="23" w:line="240" w:lineRule="atLeast"/>
              <w:ind w:left="114"/>
              <w:rPr>
                <w:sz w:val="20"/>
              </w:rPr>
            </w:pPr>
            <w:r>
              <w:rPr>
                <w:sz w:val="20"/>
              </w:rPr>
              <w:t>Primary Author, Title, Organization</w:t>
            </w:r>
          </w:p>
        </w:tc>
        <w:tc>
          <w:tcPr>
            <w:tcW w:w="5125" w:type="dxa"/>
            <w:shd w:val="clear" w:color="auto" w:fill="F1F1F1"/>
          </w:tcPr>
          <w:p w14:paraId="043EA5C9" w14:textId="77777777" w:rsidR="00BB4AD7" w:rsidRDefault="00BB4AD7">
            <w:pPr>
              <w:pStyle w:val="TableParagraph"/>
              <w:spacing w:before="9" w:line="240" w:lineRule="auto"/>
              <w:ind w:left="0"/>
              <w:rPr>
                <w:sz w:val="21"/>
              </w:rPr>
            </w:pPr>
          </w:p>
          <w:p w14:paraId="726AD0FB" w14:textId="77777777" w:rsidR="00BB4AD7" w:rsidRDefault="002D015B">
            <w:pPr>
              <w:pStyle w:val="TableParagraph"/>
              <w:spacing w:before="0" w:line="240" w:lineRule="auto"/>
              <w:ind w:left="113"/>
              <w:rPr>
                <w:sz w:val="20"/>
              </w:rPr>
            </w:pPr>
            <w:r>
              <w:rPr>
                <w:sz w:val="20"/>
              </w:rPr>
              <w:t>Revision Summary and Rationale for Revision</w:t>
            </w:r>
          </w:p>
        </w:tc>
      </w:tr>
      <w:tr w:rsidR="00BB4AD7" w14:paraId="1D5883CC" w14:textId="77777777">
        <w:trPr>
          <w:trHeight w:val="1017"/>
        </w:trPr>
        <w:tc>
          <w:tcPr>
            <w:tcW w:w="941" w:type="dxa"/>
          </w:tcPr>
          <w:p w14:paraId="5E40430E" w14:textId="77777777" w:rsidR="00BB4AD7" w:rsidRDefault="002D015B">
            <w:pPr>
              <w:pStyle w:val="TableParagraph"/>
              <w:spacing w:before="20" w:line="240" w:lineRule="auto"/>
              <w:ind w:left="115"/>
              <w:rPr>
                <w:sz w:val="20"/>
              </w:rPr>
            </w:pPr>
            <w:r>
              <w:rPr>
                <w:sz w:val="20"/>
              </w:rPr>
              <w:t>01</w:t>
            </w:r>
          </w:p>
        </w:tc>
        <w:tc>
          <w:tcPr>
            <w:tcW w:w="1575" w:type="dxa"/>
          </w:tcPr>
          <w:p w14:paraId="62596951" w14:textId="77777777" w:rsidR="00BB4AD7" w:rsidRDefault="002D015B">
            <w:pPr>
              <w:pStyle w:val="TableParagraph"/>
              <w:spacing w:before="20" w:line="240" w:lineRule="auto"/>
              <w:ind w:left="114"/>
              <w:rPr>
                <w:sz w:val="20"/>
              </w:rPr>
            </w:pPr>
            <w:r>
              <w:rPr>
                <w:sz w:val="20"/>
              </w:rPr>
              <w:t>03/31/2018</w:t>
            </w:r>
          </w:p>
        </w:tc>
        <w:tc>
          <w:tcPr>
            <w:tcW w:w="1712" w:type="dxa"/>
          </w:tcPr>
          <w:p w14:paraId="1B2A4496" w14:textId="77777777" w:rsidR="00BB4AD7" w:rsidRDefault="002D015B">
            <w:pPr>
              <w:pStyle w:val="TableParagraph"/>
              <w:spacing w:before="20" w:line="259" w:lineRule="auto"/>
              <w:ind w:left="114" w:right="275"/>
              <w:rPr>
                <w:sz w:val="20"/>
              </w:rPr>
            </w:pPr>
            <w:r>
              <w:rPr>
                <w:sz w:val="20"/>
              </w:rPr>
              <w:t>Jennifer Holmes Cal TF Staff</w:t>
            </w:r>
          </w:p>
        </w:tc>
        <w:tc>
          <w:tcPr>
            <w:tcW w:w="5125" w:type="dxa"/>
          </w:tcPr>
          <w:p w14:paraId="3F95E125" w14:textId="77777777" w:rsidR="00BB4AD7" w:rsidRDefault="002D015B">
            <w:pPr>
              <w:pStyle w:val="TableParagraph"/>
              <w:spacing w:before="20" w:line="240" w:lineRule="auto"/>
              <w:ind w:left="113" w:right="130"/>
              <w:rPr>
                <w:sz w:val="20"/>
              </w:rPr>
            </w:pPr>
            <w:r>
              <w:rPr>
                <w:sz w:val="20"/>
              </w:rPr>
              <w:t>Draft of consolidated text for this statewide measure is based upon:</w:t>
            </w:r>
          </w:p>
          <w:p w14:paraId="73EB1A2F" w14:textId="77777777" w:rsidR="00BB4AD7" w:rsidRDefault="002D015B">
            <w:pPr>
              <w:pStyle w:val="TableParagraph"/>
              <w:spacing w:before="21" w:line="240" w:lineRule="atLeast"/>
              <w:ind w:left="113" w:right="774"/>
              <w:rPr>
                <w:sz w:val="20"/>
              </w:rPr>
            </w:pPr>
            <w:r>
              <w:rPr>
                <w:sz w:val="20"/>
              </w:rPr>
              <w:t>Workpaper PGECOAGR119 Revision 3 (April 1, 2017) Consensus reached among Cal TF members.</w:t>
            </w:r>
          </w:p>
        </w:tc>
      </w:tr>
      <w:tr w:rsidR="00BB4AD7" w14:paraId="598C7F55" w14:textId="77777777">
        <w:trPr>
          <w:trHeight w:val="282"/>
        </w:trPr>
        <w:tc>
          <w:tcPr>
            <w:tcW w:w="941" w:type="dxa"/>
          </w:tcPr>
          <w:p w14:paraId="67C4F35C" w14:textId="77777777" w:rsidR="00BB4AD7" w:rsidRDefault="00BB4AD7">
            <w:pPr>
              <w:pStyle w:val="TableParagraph"/>
              <w:spacing w:before="0" w:line="240" w:lineRule="auto"/>
              <w:ind w:left="0"/>
              <w:rPr>
                <w:rFonts w:ascii="Times New Roman"/>
                <w:sz w:val="20"/>
              </w:rPr>
            </w:pPr>
          </w:p>
        </w:tc>
        <w:tc>
          <w:tcPr>
            <w:tcW w:w="1575" w:type="dxa"/>
          </w:tcPr>
          <w:p w14:paraId="09B910DA" w14:textId="77777777" w:rsidR="00BB4AD7" w:rsidRDefault="00BB4AD7">
            <w:pPr>
              <w:pStyle w:val="TableParagraph"/>
              <w:spacing w:before="0" w:line="240" w:lineRule="auto"/>
              <w:ind w:left="0"/>
              <w:rPr>
                <w:rFonts w:ascii="Times New Roman"/>
                <w:sz w:val="20"/>
              </w:rPr>
            </w:pPr>
          </w:p>
        </w:tc>
        <w:tc>
          <w:tcPr>
            <w:tcW w:w="1712" w:type="dxa"/>
          </w:tcPr>
          <w:p w14:paraId="1BC83B69" w14:textId="77777777" w:rsidR="00BB4AD7" w:rsidRDefault="00BB4AD7">
            <w:pPr>
              <w:pStyle w:val="TableParagraph"/>
              <w:spacing w:before="0" w:line="240" w:lineRule="auto"/>
              <w:ind w:left="0"/>
              <w:rPr>
                <w:rFonts w:ascii="Times New Roman"/>
                <w:sz w:val="20"/>
              </w:rPr>
            </w:pPr>
          </w:p>
        </w:tc>
        <w:tc>
          <w:tcPr>
            <w:tcW w:w="5125" w:type="dxa"/>
          </w:tcPr>
          <w:p w14:paraId="6B9BF82B" w14:textId="77777777" w:rsidR="00BB4AD7" w:rsidRDefault="002D015B">
            <w:pPr>
              <w:pStyle w:val="TableParagraph"/>
              <w:spacing w:before="20" w:line="242" w:lineRule="exact"/>
              <w:ind w:left="113"/>
              <w:rPr>
                <w:sz w:val="20"/>
              </w:rPr>
            </w:pPr>
            <w:r>
              <w:rPr>
                <w:sz w:val="20"/>
              </w:rPr>
              <w:t>Revisions for submittal of version 01.</w:t>
            </w:r>
          </w:p>
        </w:tc>
      </w:tr>
      <w:tr w:rsidR="008169D1" w:rsidRPr="00F01B55" w14:paraId="1DD04A28" w14:textId="77777777">
        <w:trPr>
          <w:trHeight w:val="282"/>
        </w:trPr>
        <w:tc>
          <w:tcPr>
            <w:tcW w:w="941" w:type="dxa"/>
            <w:vMerge w:val="restart"/>
          </w:tcPr>
          <w:p w14:paraId="7DFDC780" w14:textId="77777777" w:rsidR="008169D1" w:rsidRPr="00F01B55" w:rsidRDefault="008169D1" w:rsidP="00F01B55">
            <w:pPr>
              <w:pStyle w:val="TableParagraph"/>
              <w:spacing w:before="20" w:line="240" w:lineRule="auto"/>
              <w:ind w:left="115"/>
              <w:rPr>
                <w:sz w:val="20"/>
              </w:rPr>
            </w:pPr>
            <w:r w:rsidRPr="00F01B55">
              <w:rPr>
                <w:sz w:val="20"/>
              </w:rPr>
              <w:t>02</w:t>
            </w:r>
          </w:p>
        </w:tc>
        <w:tc>
          <w:tcPr>
            <w:tcW w:w="1575" w:type="dxa"/>
          </w:tcPr>
          <w:p w14:paraId="0BDB81B9" w14:textId="77777777" w:rsidR="008169D1" w:rsidRPr="00F01B55" w:rsidRDefault="008169D1" w:rsidP="00F01B55">
            <w:pPr>
              <w:pStyle w:val="TableParagraph"/>
              <w:spacing w:before="20" w:line="240" w:lineRule="auto"/>
              <w:ind w:left="115"/>
              <w:rPr>
                <w:sz w:val="20"/>
              </w:rPr>
            </w:pPr>
            <w:r w:rsidRPr="00F01B55">
              <w:rPr>
                <w:sz w:val="20"/>
              </w:rPr>
              <w:t>12/15/2020</w:t>
            </w:r>
          </w:p>
        </w:tc>
        <w:tc>
          <w:tcPr>
            <w:tcW w:w="1712" w:type="dxa"/>
          </w:tcPr>
          <w:p w14:paraId="7F0C525F" w14:textId="77777777" w:rsidR="008169D1" w:rsidRPr="00F01B55" w:rsidRDefault="008169D1" w:rsidP="00F01B55">
            <w:pPr>
              <w:pStyle w:val="TableParagraph"/>
              <w:spacing w:before="20" w:line="240" w:lineRule="auto"/>
              <w:ind w:left="115"/>
              <w:rPr>
                <w:sz w:val="20"/>
              </w:rPr>
            </w:pPr>
            <w:r w:rsidRPr="00F01B55">
              <w:rPr>
                <w:sz w:val="20"/>
              </w:rPr>
              <w:t>Adan Rosillo</w:t>
            </w:r>
          </w:p>
          <w:p w14:paraId="16C1013F" w14:textId="77777777" w:rsidR="008169D1" w:rsidRPr="00F01B55" w:rsidRDefault="008169D1" w:rsidP="00F01B55">
            <w:pPr>
              <w:pStyle w:val="TableParagraph"/>
              <w:spacing w:before="20" w:line="240" w:lineRule="auto"/>
              <w:ind w:left="115"/>
              <w:rPr>
                <w:sz w:val="20"/>
              </w:rPr>
            </w:pPr>
            <w:r w:rsidRPr="00F01B55">
              <w:rPr>
                <w:sz w:val="20"/>
              </w:rPr>
              <w:t>PG&amp;E</w:t>
            </w:r>
          </w:p>
        </w:tc>
        <w:tc>
          <w:tcPr>
            <w:tcW w:w="5125" w:type="dxa"/>
          </w:tcPr>
          <w:p w14:paraId="055995BF" w14:textId="77777777" w:rsidR="008169D1" w:rsidRDefault="008169D1" w:rsidP="00F01B55">
            <w:pPr>
              <w:pStyle w:val="TableParagraph"/>
              <w:spacing w:before="20" w:line="240" w:lineRule="auto"/>
              <w:ind w:left="115"/>
              <w:rPr>
                <w:sz w:val="20"/>
              </w:rPr>
            </w:pPr>
            <w:r>
              <w:rPr>
                <w:sz w:val="20"/>
              </w:rPr>
              <w:t>Updated NTG values per CPUC Resolution E-5082.</w:t>
            </w:r>
          </w:p>
          <w:p w14:paraId="58D27B47" w14:textId="77777777" w:rsidR="008169D1" w:rsidRDefault="008169D1" w:rsidP="00F01B55">
            <w:pPr>
              <w:pStyle w:val="TableParagraph"/>
              <w:spacing w:before="20" w:line="240" w:lineRule="auto"/>
              <w:ind w:left="115"/>
              <w:rPr>
                <w:sz w:val="20"/>
              </w:rPr>
            </w:pPr>
            <w:r>
              <w:rPr>
                <w:sz w:val="20"/>
              </w:rPr>
              <w:t>Updated measure costs</w:t>
            </w:r>
          </w:p>
        </w:tc>
      </w:tr>
      <w:tr w:rsidR="008169D1" w:rsidRPr="00F01B55" w14:paraId="4B102847" w14:textId="77777777">
        <w:trPr>
          <w:trHeight w:val="282"/>
        </w:trPr>
        <w:tc>
          <w:tcPr>
            <w:tcW w:w="941" w:type="dxa"/>
            <w:vMerge/>
          </w:tcPr>
          <w:p w14:paraId="172D7C9B" w14:textId="77777777" w:rsidR="008169D1" w:rsidRPr="00F01B55" w:rsidRDefault="008169D1" w:rsidP="00F01B55">
            <w:pPr>
              <w:pStyle w:val="TableParagraph"/>
              <w:spacing w:before="20" w:line="240" w:lineRule="auto"/>
              <w:ind w:left="115"/>
              <w:rPr>
                <w:sz w:val="20"/>
              </w:rPr>
            </w:pPr>
          </w:p>
        </w:tc>
        <w:tc>
          <w:tcPr>
            <w:tcW w:w="1575" w:type="dxa"/>
          </w:tcPr>
          <w:p w14:paraId="47120267" w14:textId="61933E63" w:rsidR="008169D1" w:rsidRPr="00F01B55" w:rsidRDefault="008169D1" w:rsidP="00F01B55">
            <w:pPr>
              <w:pStyle w:val="TableParagraph"/>
              <w:spacing w:before="20" w:line="240" w:lineRule="auto"/>
              <w:ind w:left="115"/>
              <w:rPr>
                <w:sz w:val="20"/>
              </w:rPr>
            </w:pPr>
            <w:r>
              <w:rPr>
                <w:sz w:val="20"/>
              </w:rPr>
              <w:t xml:space="preserve"> 06/18/2021</w:t>
            </w:r>
          </w:p>
        </w:tc>
        <w:tc>
          <w:tcPr>
            <w:tcW w:w="1712" w:type="dxa"/>
          </w:tcPr>
          <w:p w14:paraId="1812229C" w14:textId="77777777" w:rsidR="008169D1" w:rsidRPr="00F01B55" w:rsidRDefault="008169D1" w:rsidP="008169D1">
            <w:pPr>
              <w:pStyle w:val="TableParagraph"/>
              <w:spacing w:before="20" w:line="240" w:lineRule="auto"/>
              <w:ind w:left="115"/>
              <w:rPr>
                <w:sz w:val="20"/>
              </w:rPr>
            </w:pPr>
            <w:r w:rsidRPr="00F01B55">
              <w:rPr>
                <w:sz w:val="20"/>
              </w:rPr>
              <w:t>Adan Rosillo</w:t>
            </w:r>
          </w:p>
          <w:p w14:paraId="18F30DD3" w14:textId="0AC67AD0" w:rsidR="008169D1" w:rsidRPr="00F01B55" w:rsidRDefault="008169D1" w:rsidP="008169D1">
            <w:pPr>
              <w:pStyle w:val="TableParagraph"/>
              <w:spacing w:before="20" w:line="240" w:lineRule="auto"/>
              <w:ind w:left="115"/>
              <w:rPr>
                <w:sz w:val="20"/>
              </w:rPr>
            </w:pPr>
            <w:r w:rsidRPr="00F01B55">
              <w:rPr>
                <w:sz w:val="20"/>
              </w:rPr>
              <w:t>PG&amp;E</w:t>
            </w:r>
          </w:p>
        </w:tc>
        <w:tc>
          <w:tcPr>
            <w:tcW w:w="5125" w:type="dxa"/>
          </w:tcPr>
          <w:p w14:paraId="3F661A6A" w14:textId="78C91B7A" w:rsidR="008169D1" w:rsidRDefault="00D71217" w:rsidP="00F01B55">
            <w:pPr>
              <w:pStyle w:val="TableParagraph"/>
              <w:spacing w:before="20" w:line="240" w:lineRule="auto"/>
              <w:ind w:left="115"/>
              <w:rPr>
                <w:sz w:val="20"/>
              </w:rPr>
            </w:pPr>
            <w:r>
              <w:rPr>
                <w:sz w:val="20"/>
              </w:rPr>
              <w:t>Corrected word files per CPUC comments dated 2/25/2021</w:t>
            </w:r>
          </w:p>
        </w:tc>
      </w:tr>
    </w:tbl>
    <w:p w14:paraId="5AB9A191" w14:textId="77777777" w:rsidR="002D015B" w:rsidRDefault="002D015B"/>
    <w:sectPr w:rsidR="002D015B">
      <w:pgSz w:w="12240" w:h="15840"/>
      <w:pgMar w:top="1220" w:right="1040" w:bottom="1320" w:left="1320" w:header="858" w:footer="112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916E6C" w14:textId="77777777" w:rsidR="00DF23AD" w:rsidRDefault="00DF23AD">
      <w:r>
        <w:separator/>
      </w:r>
    </w:p>
  </w:endnote>
  <w:endnote w:type="continuationSeparator" w:id="0">
    <w:p w14:paraId="3CCA4867" w14:textId="77777777" w:rsidR="00DF23AD" w:rsidRDefault="00DF23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2B9033" w14:textId="77777777" w:rsidR="00BB4AD7" w:rsidRDefault="002D015B">
    <w:pPr>
      <w:pStyle w:val="BodyText"/>
      <w:spacing w:line="14" w:lineRule="auto"/>
      <w:rPr>
        <w:sz w:val="20"/>
      </w:rPr>
    </w:pPr>
    <w:r>
      <w:rPr>
        <w:noProof/>
      </w:rPr>
      <w:drawing>
        <wp:anchor distT="0" distB="0" distL="0" distR="0" simplePos="0" relativeHeight="487218688" behindDoc="1" locked="0" layoutInCell="1" allowOverlap="1" wp14:anchorId="306D1085" wp14:editId="631F78AF">
          <wp:simplePos x="0" y="0"/>
          <wp:positionH relativeFrom="page">
            <wp:posOffset>3622134</wp:posOffset>
          </wp:positionH>
          <wp:positionV relativeFrom="page">
            <wp:posOffset>9214522</wp:posOffset>
          </wp:positionV>
          <wp:extent cx="550450" cy="210743"/>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550450" cy="210743"/>
                  </a:xfrm>
                  <a:prstGeom prst="rect">
                    <a:avLst/>
                  </a:prstGeom>
                </pic:spPr>
              </pic:pic>
            </a:graphicData>
          </a:graphic>
        </wp:anchor>
      </w:drawing>
    </w:r>
    <w:r w:rsidR="00DF23AD">
      <w:pict w14:anchorId="39237E20">
        <v:shapetype id="_x0000_t202" coordsize="21600,21600" o:spt="202" path="m,l,21600r21600,l21600,xe">
          <v:stroke joinstyle="miter"/>
          <v:path gradientshapeok="t" o:connecttype="rect"/>
        </v:shapetype>
        <v:shape id="_x0000_s2056" type="#_x0000_t202" style="position:absolute;margin-left:301.25pt;margin-top:741.95pt;width:9.55pt;height:9pt;z-index:-16097280;mso-position-horizontal-relative:page;mso-position-vertical-relative:page" filled="f" stroked="f">
          <v:textbox inset="0,0,0,0">
            <w:txbxContent>
              <w:p w14:paraId="2BA0211F" w14:textId="77777777" w:rsidR="00BB4AD7" w:rsidRDefault="002D015B">
                <w:pPr>
                  <w:spacing w:line="162" w:lineRule="exact"/>
                  <w:ind w:left="60"/>
                  <w:rPr>
                    <w:rFonts w:ascii="Calibri"/>
                    <w:sz w:val="14"/>
                  </w:rPr>
                </w:pPr>
                <w:r>
                  <w:fldChar w:fldCharType="begin"/>
                </w:r>
                <w:r>
                  <w:rPr>
                    <w:rFonts w:ascii="Calibri"/>
                    <w:color w:val="808080"/>
                    <w:w w:val="99"/>
                    <w:sz w:val="14"/>
                  </w:rPr>
                  <w:instrText xml:space="preserve"> PAGE </w:instrText>
                </w:r>
                <w:r>
                  <w:fldChar w:fldCharType="separate"/>
                </w:r>
                <w:r>
                  <w:t>1</w:t>
                </w:r>
                <w: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4D3C82" w14:textId="77777777" w:rsidR="00BB4AD7" w:rsidRDefault="002D015B">
    <w:pPr>
      <w:pStyle w:val="BodyText"/>
      <w:spacing w:line="14" w:lineRule="auto"/>
      <w:rPr>
        <w:sz w:val="20"/>
      </w:rPr>
    </w:pPr>
    <w:r>
      <w:rPr>
        <w:noProof/>
      </w:rPr>
      <w:drawing>
        <wp:anchor distT="0" distB="0" distL="0" distR="0" simplePos="0" relativeHeight="487220224" behindDoc="1" locked="0" layoutInCell="1" allowOverlap="1" wp14:anchorId="4965BE85" wp14:editId="5F4AD233">
          <wp:simplePos x="0" y="0"/>
          <wp:positionH relativeFrom="page">
            <wp:posOffset>3622134</wp:posOffset>
          </wp:positionH>
          <wp:positionV relativeFrom="page">
            <wp:posOffset>9214522</wp:posOffset>
          </wp:positionV>
          <wp:extent cx="550450" cy="210743"/>
          <wp:effectExtent l="0" t="0" r="0" b="0"/>
          <wp:wrapNone/>
          <wp:docPr id="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jpeg"/>
                  <pic:cNvPicPr/>
                </pic:nvPicPr>
                <pic:blipFill>
                  <a:blip r:embed="rId1" cstate="print"/>
                  <a:stretch>
                    <a:fillRect/>
                  </a:stretch>
                </pic:blipFill>
                <pic:spPr>
                  <a:xfrm>
                    <a:off x="0" y="0"/>
                    <a:ext cx="550450" cy="210743"/>
                  </a:xfrm>
                  <a:prstGeom prst="rect">
                    <a:avLst/>
                  </a:prstGeom>
                </pic:spPr>
              </pic:pic>
            </a:graphicData>
          </a:graphic>
        </wp:anchor>
      </w:drawing>
    </w:r>
    <w:r w:rsidR="00DF23AD">
      <w:pict w14:anchorId="10D6B1F8">
        <v:shapetype id="_x0000_t202" coordsize="21600,21600" o:spt="202" path="m,l,21600r21600,l21600,xe">
          <v:stroke joinstyle="miter"/>
          <v:path gradientshapeok="t" o:connecttype="rect"/>
        </v:shapetype>
        <v:shape id="_x0000_s2054" type="#_x0000_t202" style="position:absolute;margin-left:301.25pt;margin-top:741.95pt;width:9.55pt;height:9pt;z-index:-16095744;mso-position-horizontal-relative:page;mso-position-vertical-relative:page" filled="f" stroked="f">
          <v:textbox inset="0,0,0,0">
            <w:txbxContent>
              <w:p w14:paraId="3FADFD2E" w14:textId="77777777" w:rsidR="00BB4AD7" w:rsidRDefault="002D015B">
                <w:pPr>
                  <w:spacing w:line="162" w:lineRule="exact"/>
                  <w:ind w:left="60"/>
                  <w:rPr>
                    <w:rFonts w:ascii="Calibri"/>
                    <w:sz w:val="14"/>
                  </w:rPr>
                </w:pPr>
                <w:r>
                  <w:fldChar w:fldCharType="begin"/>
                </w:r>
                <w:r>
                  <w:rPr>
                    <w:rFonts w:ascii="Calibri"/>
                    <w:color w:val="808080"/>
                    <w:w w:val="99"/>
                    <w:sz w:val="14"/>
                  </w:rPr>
                  <w:instrText xml:space="preserve"> PAGE </w:instrText>
                </w:r>
                <w:r>
                  <w:fldChar w:fldCharType="separate"/>
                </w:r>
                <w:r>
                  <w:t>2</w:t>
                </w:r>
                <w:r>
                  <w:fldChar w:fldCharType="end"/>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DF73B0" w14:textId="77777777" w:rsidR="00BB4AD7" w:rsidRDefault="002D015B">
    <w:pPr>
      <w:pStyle w:val="BodyText"/>
      <w:spacing w:line="14" w:lineRule="auto"/>
      <w:rPr>
        <w:sz w:val="20"/>
      </w:rPr>
    </w:pPr>
    <w:r>
      <w:rPr>
        <w:noProof/>
      </w:rPr>
      <w:drawing>
        <wp:anchor distT="0" distB="0" distL="0" distR="0" simplePos="0" relativeHeight="487221760" behindDoc="1" locked="0" layoutInCell="1" allowOverlap="1" wp14:anchorId="546EDF38" wp14:editId="3C764860">
          <wp:simplePos x="0" y="0"/>
          <wp:positionH relativeFrom="page">
            <wp:posOffset>3622134</wp:posOffset>
          </wp:positionH>
          <wp:positionV relativeFrom="page">
            <wp:posOffset>9214522</wp:posOffset>
          </wp:positionV>
          <wp:extent cx="550450" cy="210743"/>
          <wp:effectExtent l="0" t="0" r="0" b="0"/>
          <wp:wrapNone/>
          <wp:docPr id="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jpeg"/>
                  <pic:cNvPicPr/>
                </pic:nvPicPr>
                <pic:blipFill>
                  <a:blip r:embed="rId1" cstate="print"/>
                  <a:stretch>
                    <a:fillRect/>
                  </a:stretch>
                </pic:blipFill>
                <pic:spPr>
                  <a:xfrm>
                    <a:off x="0" y="0"/>
                    <a:ext cx="550450" cy="210743"/>
                  </a:xfrm>
                  <a:prstGeom prst="rect">
                    <a:avLst/>
                  </a:prstGeom>
                </pic:spPr>
              </pic:pic>
            </a:graphicData>
          </a:graphic>
        </wp:anchor>
      </w:drawing>
    </w:r>
    <w:r w:rsidR="00DF23AD">
      <w:pict w14:anchorId="6B661D2C">
        <v:rect id="_x0000_s2052" style="position:absolute;margin-left:1in;margin-top:666pt;width:2in;height:.7pt;z-index:-16094208;mso-position-horizontal-relative:page;mso-position-vertical-relative:page" fillcolor="black" stroked="f">
          <w10:wrap anchorx="page" anchory="page"/>
        </v:rect>
      </w:pict>
    </w:r>
    <w:r w:rsidR="00DF23AD">
      <w:pict w14:anchorId="3CED5589">
        <v:shapetype id="_x0000_t202" coordsize="21600,21600" o:spt="202" path="m,l,21600r21600,l21600,xe">
          <v:stroke joinstyle="miter"/>
          <v:path gradientshapeok="t" o:connecttype="rect"/>
        </v:shapetype>
        <v:shape id="_x0000_s2051" type="#_x0000_t202" style="position:absolute;margin-left:303.25pt;margin-top:741.95pt;width:5.55pt;height:9pt;z-index:-16093696;mso-position-horizontal-relative:page;mso-position-vertical-relative:page" filled="f" stroked="f">
          <v:textbox inset="0,0,0,0">
            <w:txbxContent>
              <w:p w14:paraId="4329FD75" w14:textId="77777777" w:rsidR="00BB4AD7" w:rsidRDefault="002D015B">
                <w:pPr>
                  <w:spacing w:line="162" w:lineRule="exact"/>
                  <w:ind w:left="20"/>
                  <w:rPr>
                    <w:rFonts w:ascii="Calibri"/>
                    <w:sz w:val="14"/>
                  </w:rPr>
                </w:pPr>
                <w:r>
                  <w:rPr>
                    <w:rFonts w:ascii="Calibri"/>
                    <w:color w:val="808080"/>
                    <w:w w:val="99"/>
                    <w:sz w:val="14"/>
                  </w:rPr>
                  <w:t>6</w:t>
                </w:r>
              </w:p>
            </w:txbxContent>
          </v:textbox>
          <w10:wrap anchorx="page" anchory="page"/>
        </v:shape>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000DF0" w14:textId="77777777" w:rsidR="00BB4AD7" w:rsidRDefault="002D015B">
    <w:pPr>
      <w:pStyle w:val="BodyText"/>
      <w:spacing w:line="14" w:lineRule="auto"/>
      <w:rPr>
        <w:sz w:val="20"/>
      </w:rPr>
    </w:pPr>
    <w:r>
      <w:rPr>
        <w:noProof/>
      </w:rPr>
      <w:drawing>
        <wp:anchor distT="0" distB="0" distL="0" distR="0" simplePos="0" relativeHeight="487223808" behindDoc="1" locked="0" layoutInCell="1" allowOverlap="1" wp14:anchorId="20C36D55" wp14:editId="04462349">
          <wp:simplePos x="0" y="0"/>
          <wp:positionH relativeFrom="page">
            <wp:posOffset>3622134</wp:posOffset>
          </wp:positionH>
          <wp:positionV relativeFrom="page">
            <wp:posOffset>9214522</wp:posOffset>
          </wp:positionV>
          <wp:extent cx="550450" cy="210743"/>
          <wp:effectExtent l="0" t="0" r="0" b="0"/>
          <wp:wrapNone/>
          <wp:docPr id="9"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jpeg"/>
                  <pic:cNvPicPr/>
                </pic:nvPicPr>
                <pic:blipFill>
                  <a:blip r:embed="rId1" cstate="print"/>
                  <a:stretch>
                    <a:fillRect/>
                  </a:stretch>
                </pic:blipFill>
                <pic:spPr>
                  <a:xfrm>
                    <a:off x="0" y="0"/>
                    <a:ext cx="550450" cy="210743"/>
                  </a:xfrm>
                  <a:prstGeom prst="rect">
                    <a:avLst/>
                  </a:prstGeom>
                </pic:spPr>
              </pic:pic>
            </a:graphicData>
          </a:graphic>
        </wp:anchor>
      </w:drawing>
    </w:r>
    <w:r w:rsidR="00DF23AD">
      <w:pict w14:anchorId="781BDB43">
        <v:shapetype id="_x0000_t202" coordsize="21600,21600" o:spt="202" path="m,l,21600r21600,l21600,xe">
          <v:stroke joinstyle="miter"/>
          <v:path gradientshapeok="t" o:connecttype="rect"/>
        </v:shapetype>
        <v:shape id="_x0000_s2049" type="#_x0000_t202" style="position:absolute;margin-left:299.45pt;margin-top:741.95pt;width:13pt;height:9pt;z-index:-16092160;mso-position-horizontal-relative:page;mso-position-vertical-relative:page" filled="f" stroked="f">
          <v:textbox inset="0,0,0,0">
            <w:txbxContent>
              <w:p w14:paraId="5AAB48FC" w14:textId="77777777" w:rsidR="00BB4AD7" w:rsidRDefault="002D015B">
                <w:pPr>
                  <w:spacing w:line="162" w:lineRule="exact"/>
                  <w:ind w:left="60"/>
                  <w:rPr>
                    <w:rFonts w:ascii="Calibri"/>
                    <w:sz w:val="14"/>
                  </w:rPr>
                </w:pPr>
                <w:r>
                  <w:fldChar w:fldCharType="begin"/>
                </w:r>
                <w:r>
                  <w:rPr>
                    <w:rFonts w:ascii="Calibri"/>
                    <w:color w:val="808080"/>
                    <w:sz w:val="14"/>
                  </w:rPr>
                  <w:instrText xml:space="preserve"> PAGE </w:instrText>
                </w:r>
                <w:r>
                  <w:fldChar w:fldCharType="separate"/>
                </w:r>
                <w:r>
                  <w:t>10</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590EEE" w14:textId="77777777" w:rsidR="00DF23AD" w:rsidRDefault="00DF23AD">
      <w:r>
        <w:separator/>
      </w:r>
    </w:p>
  </w:footnote>
  <w:footnote w:type="continuationSeparator" w:id="0">
    <w:p w14:paraId="40DCDEC6" w14:textId="77777777" w:rsidR="00DF23AD" w:rsidRDefault="00DF23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CD03C4" w14:textId="77777777" w:rsidR="00BB4AD7" w:rsidRDefault="00DF23AD">
    <w:pPr>
      <w:pStyle w:val="BodyText"/>
      <w:spacing w:line="14" w:lineRule="auto"/>
      <w:rPr>
        <w:sz w:val="20"/>
      </w:rPr>
    </w:pPr>
    <w:r>
      <w:pict w14:anchorId="251CF6A0">
        <v:shapetype id="_x0000_t202" coordsize="21600,21600" o:spt="202" path="m,l,21600r21600,l21600,xe">
          <v:stroke joinstyle="miter"/>
          <v:path gradientshapeok="t" o:connecttype="rect"/>
        </v:shapetype>
        <v:shape id="_x0000_s2055" type="#_x0000_t202" style="position:absolute;margin-left:216.75pt;margin-top:42.65pt;width:178.8pt;height:11.25pt;z-index:-16096768;mso-position-horizontal-relative:page;mso-position-vertical-relative:page" filled="f" stroked="f">
          <v:textbox inset="0,0,0,0">
            <w:txbxContent>
              <w:p w14:paraId="104E40E9" w14:textId="52874B29" w:rsidR="00BB4AD7" w:rsidRDefault="002D015B">
                <w:pPr>
                  <w:spacing w:before="12"/>
                  <w:ind w:left="20"/>
                  <w:rPr>
                    <w:sz w:val="16"/>
                  </w:rPr>
                </w:pPr>
                <w:r>
                  <w:rPr>
                    <w:color w:val="5F5F5F"/>
                    <w:w w:val="105"/>
                    <w:sz w:val="16"/>
                  </w:rPr>
                  <w:t>WATER</w:t>
                </w:r>
                <w:r>
                  <w:rPr>
                    <w:color w:val="5F5F5F"/>
                    <w:spacing w:val="-14"/>
                    <w:w w:val="105"/>
                    <w:sz w:val="16"/>
                  </w:rPr>
                  <w:t xml:space="preserve"> </w:t>
                </w:r>
                <w:r>
                  <w:rPr>
                    <w:color w:val="5F5F5F"/>
                    <w:w w:val="105"/>
                    <w:sz w:val="16"/>
                  </w:rPr>
                  <w:t>PUMPING</w:t>
                </w:r>
                <w:r>
                  <w:rPr>
                    <w:color w:val="5F5F5F"/>
                    <w:spacing w:val="-15"/>
                    <w:w w:val="105"/>
                    <w:sz w:val="16"/>
                  </w:rPr>
                  <w:t xml:space="preserve"> </w:t>
                </w:r>
                <w:r>
                  <w:rPr>
                    <w:color w:val="5F5F5F"/>
                    <w:w w:val="105"/>
                    <w:sz w:val="16"/>
                  </w:rPr>
                  <w:t>&amp;</w:t>
                </w:r>
                <w:r>
                  <w:rPr>
                    <w:color w:val="5F5F5F"/>
                    <w:spacing w:val="-13"/>
                    <w:w w:val="105"/>
                    <w:sz w:val="16"/>
                  </w:rPr>
                  <w:t xml:space="preserve"> </w:t>
                </w:r>
                <w:r>
                  <w:rPr>
                    <w:color w:val="5F5F5F"/>
                    <w:w w:val="105"/>
                    <w:sz w:val="16"/>
                  </w:rPr>
                  <w:t>IRRIGATION</w:t>
                </w:r>
                <w:r>
                  <w:rPr>
                    <w:color w:val="5F5F5F"/>
                    <w:spacing w:val="12"/>
                    <w:w w:val="105"/>
                    <w:sz w:val="16"/>
                  </w:rPr>
                  <w:t xml:space="preserve"> </w:t>
                </w:r>
                <w:r>
                  <w:rPr>
                    <w:rFonts w:ascii="Wingdings" w:hAnsi="Wingdings"/>
                    <w:color w:val="8DC53E"/>
                    <w:w w:val="120"/>
                    <w:sz w:val="16"/>
                  </w:rPr>
                  <w:t>◼</w:t>
                </w:r>
                <w:r>
                  <w:rPr>
                    <w:rFonts w:ascii="Times New Roman" w:hAnsi="Times New Roman"/>
                    <w:color w:val="8DC53E"/>
                    <w:spacing w:val="-1"/>
                    <w:w w:val="120"/>
                    <w:sz w:val="16"/>
                  </w:rPr>
                  <w:t xml:space="preserve"> </w:t>
                </w:r>
                <w:r>
                  <w:rPr>
                    <w:color w:val="5F5F5F"/>
                    <w:w w:val="105"/>
                    <w:sz w:val="16"/>
                  </w:rPr>
                  <w:t>VFD</w:t>
                </w:r>
                <w:r>
                  <w:rPr>
                    <w:color w:val="5F5F5F"/>
                    <w:spacing w:val="-15"/>
                    <w:w w:val="105"/>
                    <w:sz w:val="16"/>
                  </w:rPr>
                  <w:t xml:space="preserve"> </w:t>
                </w:r>
                <w:r>
                  <w:rPr>
                    <w:color w:val="5F5F5F"/>
                    <w:w w:val="105"/>
                    <w:sz w:val="16"/>
                  </w:rPr>
                  <w:t>on</w:t>
                </w:r>
                <w:r>
                  <w:rPr>
                    <w:color w:val="5F5F5F"/>
                    <w:spacing w:val="-14"/>
                    <w:w w:val="105"/>
                    <w:sz w:val="16"/>
                  </w:rPr>
                  <w:t xml:space="preserve"> </w:t>
                </w:r>
                <w:r w:rsidR="008A3406">
                  <w:rPr>
                    <w:color w:val="5F5F5F"/>
                    <w:w w:val="105"/>
                    <w:sz w:val="16"/>
                  </w:rPr>
                  <w:t>Ag</w:t>
                </w:r>
                <w:r>
                  <w:rPr>
                    <w:color w:val="5F5F5F"/>
                    <w:spacing w:val="-15"/>
                    <w:w w:val="105"/>
                    <w:sz w:val="16"/>
                  </w:rPr>
                  <w:t xml:space="preserve"> </w:t>
                </w:r>
                <w:r>
                  <w:rPr>
                    <w:color w:val="5F5F5F"/>
                    <w:spacing w:val="-29"/>
                    <w:w w:val="105"/>
                    <w:sz w:val="16"/>
                  </w:rPr>
                  <w:t>Pump</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E24476" w14:textId="77777777" w:rsidR="00BB4AD7" w:rsidRDefault="00DF23AD">
    <w:pPr>
      <w:pStyle w:val="BodyText"/>
      <w:spacing w:line="14" w:lineRule="auto"/>
      <w:rPr>
        <w:sz w:val="20"/>
      </w:rPr>
    </w:pPr>
    <w:r>
      <w:pict w14:anchorId="47A8970F">
        <v:shapetype id="_x0000_t202" coordsize="21600,21600" o:spt="202" path="m,l,21600r21600,l21600,xe">
          <v:stroke joinstyle="miter"/>
          <v:path gradientshapeok="t" o:connecttype="rect"/>
        </v:shapetype>
        <v:shape id="_x0000_s2053" type="#_x0000_t202" style="position:absolute;margin-left:216.75pt;margin-top:42.65pt;width:178.8pt;height:11.25pt;z-index:-16095232;mso-position-horizontal-relative:page;mso-position-vertical-relative:page" filled="f" stroked="f">
          <v:textbox inset="0,0,0,0">
            <w:txbxContent>
              <w:p w14:paraId="1C6AC8DD" w14:textId="78697D2D" w:rsidR="00BB4AD7" w:rsidRDefault="002D015B">
                <w:pPr>
                  <w:spacing w:before="12"/>
                  <w:ind w:left="20"/>
                  <w:rPr>
                    <w:sz w:val="16"/>
                  </w:rPr>
                </w:pPr>
                <w:r>
                  <w:rPr>
                    <w:color w:val="5F5F5F"/>
                    <w:w w:val="105"/>
                    <w:sz w:val="16"/>
                  </w:rPr>
                  <w:t>WATER</w:t>
                </w:r>
                <w:r>
                  <w:rPr>
                    <w:color w:val="5F5F5F"/>
                    <w:spacing w:val="-14"/>
                    <w:w w:val="105"/>
                    <w:sz w:val="16"/>
                  </w:rPr>
                  <w:t xml:space="preserve"> </w:t>
                </w:r>
                <w:r>
                  <w:rPr>
                    <w:color w:val="5F5F5F"/>
                    <w:w w:val="105"/>
                    <w:sz w:val="16"/>
                  </w:rPr>
                  <w:t>PUMPING</w:t>
                </w:r>
                <w:r>
                  <w:rPr>
                    <w:color w:val="5F5F5F"/>
                    <w:spacing w:val="-15"/>
                    <w:w w:val="105"/>
                    <w:sz w:val="16"/>
                  </w:rPr>
                  <w:t xml:space="preserve"> </w:t>
                </w:r>
                <w:r>
                  <w:rPr>
                    <w:color w:val="5F5F5F"/>
                    <w:w w:val="105"/>
                    <w:sz w:val="16"/>
                  </w:rPr>
                  <w:t>&amp;</w:t>
                </w:r>
                <w:r>
                  <w:rPr>
                    <w:color w:val="5F5F5F"/>
                    <w:spacing w:val="-13"/>
                    <w:w w:val="105"/>
                    <w:sz w:val="16"/>
                  </w:rPr>
                  <w:t xml:space="preserve"> </w:t>
                </w:r>
                <w:r>
                  <w:rPr>
                    <w:color w:val="5F5F5F"/>
                    <w:w w:val="105"/>
                    <w:sz w:val="16"/>
                  </w:rPr>
                  <w:t>IRRIGATION</w:t>
                </w:r>
                <w:r>
                  <w:rPr>
                    <w:color w:val="5F5F5F"/>
                    <w:spacing w:val="12"/>
                    <w:w w:val="105"/>
                    <w:sz w:val="16"/>
                  </w:rPr>
                  <w:t xml:space="preserve"> </w:t>
                </w:r>
                <w:r>
                  <w:rPr>
                    <w:rFonts w:ascii="Wingdings" w:hAnsi="Wingdings"/>
                    <w:color w:val="8DC53E"/>
                    <w:w w:val="120"/>
                    <w:sz w:val="16"/>
                  </w:rPr>
                  <w:t>◼</w:t>
                </w:r>
                <w:r>
                  <w:rPr>
                    <w:rFonts w:ascii="Times New Roman" w:hAnsi="Times New Roman"/>
                    <w:color w:val="8DC53E"/>
                    <w:spacing w:val="-1"/>
                    <w:w w:val="120"/>
                    <w:sz w:val="16"/>
                  </w:rPr>
                  <w:t xml:space="preserve"> </w:t>
                </w:r>
                <w:r>
                  <w:rPr>
                    <w:color w:val="5F5F5F"/>
                    <w:w w:val="105"/>
                    <w:sz w:val="16"/>
                  </w:rPr>
                  <w:t>VFD</w:t>
                </w:r>
                <w:r>
                  <w:rPr>
                    <w:color w:val="5F5F5F"/>
                    <w:spacing w:val="-15"/>
                    <w:w w:val="105"/>
                    <w:sz w:val="16"/>
                  </w:rPr>
                  <w:t xml:space="preserve"> </w:t>
                </w:r>
                <w:r>
                  <w:rPr>
                    <w:color w:val="5F5F5F"/>
                    <w:w w:val="105"/>
                    <w:sz w:val="16"/>
                  </w:rPr>
                  <w:t>on</w:t>
                </w:r>
                <w:r>
                  <w:rPr>
                    <w:color w:val="5F5F5F"/>
                    <w:spacing w:val="-14"/>
                    <w:w w:val="105"/>
                    <w:sz w:val="16"/>
                  </w:rPr>
                  <w:t xml:space="preserve"> </w:t>
                </w:r>
                <w:r w:rsidR="001C06B8">
                  <w:rPr>
                    <w:color w:val="5F5F5F"/>
                    <w:w w:val="105"/>
                    <w:sz w:val="16"/>
                  </w:rPr>
                  <w:t>Ag</w:t>
                </w:r>
                <w:r>
                  <w:rPr>
                    <w:color w:val="5F5F5F"/>
                    <w:spacing w:val="-15"/>
                    <w:w w:val="105"/>
                    <w:sz w:val="16"/>
                  </w:rPr>
                  <w:t xml:space="preserve"> </w:t>
                </w:r>
                <w:r>
                  <w:rPr>
                    <w:color w:val="5F5F5F"/>
                    <w:spacing w:val="-29"/>
                    <w:w w:val="105"/>
                    <w:sz w:val="16"/>
                  </w:rPr>
                  <w:t>Pump</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03B6CE" w14:textId="77777777" w:rsidR="00BB4AD7" w:rsidRDefault="00DF23AD">
    <w:pPr>
      <w:pStyle w:val="BodyText"/>
      <w:spacing w:line="14" w:lineRule="auto"/>
      <w:rPr>
        <w:sz w:val="20"/>
      </w:rPr>
    </w:pPr>
    <w:r>
      <w:pict w14:anchorId="030FEE9B">
        <v:shapetype id="_x0000_t202" coordsize="21600,21600" o:spt="202" path="m,l,21600r21600,l21600,xe">
          <v:stroke joinstyle="miter"/>
          <v:path gradientshapeok="t" o:connecttype="rect"/>
        </v:shapetype>
        <v:shape id="_x0000_s2050" type="#_x0000_t202" style="position:absolute;margin-left:216.75pt;margin-top:42.65pt;width:178.8pt;height:11.25pt;z-index:-16093184;mso-position-horizontal-relative:page;mso-position-vertical-relative:page" filled="f" stroked="f">
          <v:textbox inset="0,0,0,0">
            <w:txbxContent>
              <w:p w14:paraId="7C7080F3" w14:textId="254481F1" w:rsidR="00BB4AD7" w:rsidRDefault="002D015B">
                <w:pPr>
                  <w:spacing w:before="12"/>
                  <w:ind w:left="20"/>
                  <w:rPr>
                    <w:sz w:val="16"/>
                  </w:rPr>
                </w:pPr>
                <w:r>
                  <w:rPr>
                    <w:color w:val="5F5F5F"/>
                    <w:w w:val="105"/>
                    <w:sz w:val="16"/>
                  </w:rPr>
                  <w:t>WATER</w:t>
                </w:r>
                <w:r>
                  <w:rPr>
                    <w:color w:val="5F5F5F"/>
                    <w:spacing w:val="-14"/>
                    <w:w w:val="105"/>
                    <w:sz w:val="16"/>
                  </w:rPr>
                  <w:t xml:space="preserve"> </w:t>
                </w:r>
                <w:r>
                  <w:rPr>
                    <w:color w:val="5F5F5F"/>
                    <w:w w:val="105"/>
                    <w:sz w:val="16"/>
                  </w:rPr>
                  <w:t>PUMPING</w:t>
                </w:r>
                <w:r>
                  <w:rPr>
                    <w:color w:val="5F5F5F"/>
                    <w:spacing w:val="-15"/>
                    <w:w w:val="105"/>
                    <w:sz w:val="16"/>
                  </w:rPr>
                  <w:t xml:space="preserve"> </w:t>
                </w:r>
                <w:r>
                  <w:rPr>
                    <w:color w:val="5F5F5F"/>
                    <w:w w:val="105"/>
                    <w:sz w:val="16"/>
                  </w:rPr>
                  <w:t>&amp;</w:t>
                </w:r>
                <w:r>
                  <w:rPr>
                    <w:color w:val="5F5F5F"/>
                    <w:spacing w:val="-13"/>
                    <w:w w:val="105"/>
                    <w:sz w:val="16"/>
                  </w:rPr>
                  <w:t xml:space="preserve"> </w:t>
                </w:r>
                <w:r>
                  <w:rPr>
                    <w:color w:val="5F5F5F"/>
                    <w:w w:val="105"/>
                    <w:sz w:val="16"/>
                  </w:rPr>
                  <w:t>IRRIGATION</w:t>
                </w:r>
                <w:r>
                  <w:rPr>
                    <w:color w:val="5F5F5F"/>
                    <w:spacing w:val="12"/>
                    <w:w w:val="105"/>
                    <w:sz w:val="16"/>
                  </w:rPr>
                  <w:t xml:space="preserve"> </w:t>
                </w:r>
                <w:r>
                  <w:rPr>
                    <w:rFonts w:ascii="Wingdings" w:hAnsi="Wingdings"/>
                    <w:color w:val="8DC53E"/>
                    <w:w w:val="120"/>
                    <w:sz w:val="16"/>
                  </w:rPr>
                  <w:t>◼</w:t>
                </w:r>
                <w:r>
                  <w:rPr>
                    <w:rFonts w:ascii="Times New Roman" w:hAnsi="Times New Roman"/>
                    <w:color w:val="8DC53E"/>
                    <w:spacing w:val="-1"/>
                    <w:w w:val="120"/>
                    <w:sz w:val="16"/>
                  </w:rPr>
                  <w:t xml:space="preserve"> </w:t>
                </w:r>
                <w:r>
                  <w:rPr>
                    <w:color w:val="5F5F5F"/>
                    <w:w w:val="105"/>
                    <w:sz w:val="16"/>
                  </w:rPr>
                  <w:t>VFD</w:t>
                </w:r>
                <w:r>
                  <w:rPr>
                    <w:color w:val="5F5F5F"/>
                    <w:spacing w:val="-15"/>
                    <w:w w:val="105"/>
                    <w:sz w:val="16"/>
                  </w:rPr>
                  <w:t xml:space="preserve"> </w:t>
                </w:r>
                <w:r>
                  <w:rPr>
                    <w:color w:val="5F5F5F"/>
                    <w:w w:val="105"/>
                    <w:sz w:val="16"/>
                  </w:rPr>
                  <w:t>on</w:t>
                </w:r>
                <w:r>
                  <w:rPr>
                    <w:color w:val="5F5F5F"/>
                    <w:spacing w:val="-14"/>
                    <w:w w:val="105"/>
                    <w:sz w:val="16"/>
                  </w:rPr>
                  <w:t xml:space="preserve"> </w:t>
                </w:r>
                <w:r w:rsidR="00B17A9F">
                  <w:rPr>
                    <w:color w:val="5F5F5F"/>
                    <w:w w:val="105"/>
                    <w:sz w:val="16"/>
                  </w:rPr>
                  <w:t>Ag</w:t>
                </w:r>
                <w:r>
                  <w:rPr>
                    <w:color w:val="5F5F5F"/>
                    <w:spacing w:val="-15"/>
                    <w:w w:val="105"/>
                    <w:sz w:val="16"/>
                  </w:rPr>
                  <w:t xml:space="preserve"> </w:t>
                </w:r>
                <w:r>
                  <w:rPr>
                    <w:color w:val="5F5F5F"/>
                    <w:spacing w:val="-29"/>
                    <w:w w:val="105"/>
                    <w:sz w:val="16"/>
                  </w:rPr>
                  <w:t>Pump</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223D8F"/>
    <w:multiLevelType w:val="hybridMultilevel"/>
    <w:tmpl w:val="B3462D58"/>
    <w:lvl w:ilvl="0" w:tplc="13E23C9E">
      <w:numFmt w:val="bullet"/>
      <w:lvlText w:val=""/>
      <w:lvlJc w:val="left"/>
      <w:pPr>
        <w:ind w:left="840" w:hanging="360"/>
      </w:pPr>
      <w:rPr>
        <w:rFonts w:ascii="Symbol" w:eastAsia="Symbol" w:hAnsi="Symbol" w:cs="Symbol" w:hint="default"/>
        <w:color w:val="404040"/>
        <w:w w:val="99"/>
        <w:sz w:val="20"/>
        <w:szCs w:val="20"/>
        <w:lang w:val="en-US" w:eastAsia="en-US" w:bidi="ar-SA"/>
      </w:rPr>
    </w:lvl>
    <w:lvl w:ilvl="1" w:tplc="0E542382">
      <w:numFmt w:val="bullet"/>
      <w:lvlText w:val="•"/>
      <w:lvlJc w:val="left"/>
      <w:pPr>
        <w:ind w:left="1744" w:hanging="360"/>
      </w:pPr>
      <w:rPr>
        <w:rFonts w:hint="default"/>
        <w:lang w:val="en-US" w:eastAsia="en-US" w:bidi="ar-SA"/>
      </w:rPr>
    </w:lvl>
    <w:lvl w:ilvl="2" w:tplc="7D3015B2">
      <w:numFmt w:val="bullet"/>
      <w:lvlText w:val="•"/>
      <w:lvlJc w:val="left"/>
      <w:pPr>
        <w:ind w:left="2648" w:hanging="360"/>
      </w:pPr>
      <w:rPr>
        <w:rFonts w:hint="default"/>
        <w:lang w:val="en-US" w:eastAsia="en-US" w:bidi="ar-SA"/>
      </w:rPr>
    </w:lvl>
    <w:lvl w:ilvl="3" w:tplc="B598398C">
      <w:numFmt w:val="bullet"/>
      <w:lvlText w:val="•"/>
      <w:lvlJc w:val="left"/>
      <w:pPr>
        <w:ind w:left="3552" w:hanging="360"/>
      </w:pPr>
      <w:rPr>
        <w:rFonts w:hint="default"/>
        <w:lang w:val="en-US" w:eastAsia="en-US" w:bidi="ar-SA"/>
      </w:rPr>
    </w:lvl>
    <w:lvl w:ilvl="4" w:tplc="4174730A">
      <w:numFmt w:val="bullet"/>
      <w:lvlText w:val="•"/>
      <w:lvlJc w:val="left"/>
      <w:pPr>
        <w:ind w:left="4456" w:hanging="360"/>
      </w:pPr>
      <w:rPr>
        <w:rFonts w:hint="default"/>
        <w:lang w:val="en-US" w:eastAsia="en-US" w:bidi="ar-SA"/>
      </w:rPr>
    </w:lvl>
    <w:lvl w:ilvl="5" w:tplc="AA1C7E34">
      <w:numFmt w:val="bullet"/>
      <w:lvlText w:val="•"/>
      <w:lvlJc w:val="left"/>
      <w:pPr>
        <w:ind w:left="5360" w:hanging="360"/>
      </w:pPr>
      <w:rPr>
        <w:rFonts w:hint="default"/>
        <w:lang w:val="en-US" w:eastAsia="en-US" w:bidi="ar-SA"/>
      </w:rPr>
    </w:lvl>
    <w:lvl w:ilvl="6" w:tplc="31EEE460">
      <w:numFmt w:val="bullet"/>
      <w:lvlText w:val="•"/>
      <w:lvlJc w:val="left"/>
      <w:pPr>
        <w:ind w:left="6264" w:hanging="360"/>
      </w:pPr>
      <w:rPr>
        <w:rFonts w:hint="default"/>
        <w:lang w:val="en-US" w:eastAsia="en-US" w:bidi="ar-SA"/>
      </w:rPr>
    </w:lvl>
    <w:lvl w:ilvl="7" w:tplc="B64E518C">
      <w:numFmt w:val="bullet"/>
      <w:lvlText w:val="•"/>
      <w:lvlJc w:val="left"/>
      <w:pPr>
        <w:ind w:left="7168" w:hanging="360"/>
      </w:pPr>
      <w:rPr>
        <w:rFonts w:hint="default"/>
        <w:lang w:val="en-US" w:eastAsia="en-US" w:bidi="ar-SA"/>
      </w:rPr>
    </w:lvl>
    <w:lvl w:ilvl="8" w:tplc="BF70D79E">
      <w:numFmt w:val="bullet"/>
      <w:lvlText w:val="•"/>
      <w:lvlJc w:val="left"/>
      <w:pPr>
        <w:ind w:left="8072" w:hanging="360"/>
      </w:pPr>
      <w:rPr>
        <w:rFonts w:hint="default"/>
        <w:lang w:val="en-US" w:eastAsia="en-US" w:bidi="ar-SA"/>
      </w:rPr>
    </w:lvl>
  </w:abstractNum>
  <w:abstractNum w:abstractNumId="1" w15:restartNumberingAfterBreak="0">
    <w:nsid w:val="2396605C"/>
    <w:multiLevelType w:val="hybridMultilevel"/>
    <w:tmpl w:val="E0466D9A"/>
    <w:lvl w:ilvl="0" w:tplc="0C2A2554">
      <w:start w:val="1"/>
      <w:numFmt w:val="decimal"/>
      <w:lvlText w:val="%1."/>
      <w:lvlJc w:val="left"/>
      <w:pPr>
        <w:ind w:left="840" w:hanging="360"/>
        <w:jc w:val="left"/>
      </w:pPr>
      <w:rPr>
        <w:rFonts w:ascii="Calibri Light" w:eastAsia="Calibri Light" w:hAnsi="Calibri Light" w:cs="Calibri Light" w:hint="default"/>
        <w:w w:val="100"/>
        <w:sz w:val="22"/>
        <w:szCs w:val="22"/>
        <w:lang w:val="en-US" w:eastAsia="en-US" w:bidi="ar-SA"/>
      </w:rPr>
    </w:lvl>
    <w:lvl w:ilvl="1" w:tplc="7D546A3A">
      <w:numFmt w:val="bullet"/>
      <w:lvlText w:val="•"/>
      <w:lvlJc w:val="left"/>
      <w:pPr>
        <w:ind w:left="1744" w:hanging="360"/>
      </w:pPr>
      <w:rPr>
        <w:rFonts w:hint="default"/>
        <w:lang w:val="en-US" w:eastAsia="en-US" w:bidi="ar-SA"/>
      </w:rPr>
    </w:lvl>
    <w:lvl w:ilvl="2" w:tplc="8ABCDB1C">
      <w:numFmt w:val="bullet"/>
      <w:lvlText w:val="•"/>
      <w:lvlJc w:val="left"/>
      <w:pPr>
        <w:ind w:left="2648" w:hanging="360"/>
      </w:pPr>
      <w:rPr>
        <w:rFonts w:hint="default"/>
        <w:lang w:val="en-US" w:eastAsia="en-US" w:bidi="ar-SA"/>
      </w:rPr>
    </w:lvl>
    <w:lvl w:ilvl="3" w:tplc="46C69356">
      <w:numFmt w:val="bullet"/>
      <w:lvlText w:val="•"/>
      <w:lvlJc w:val="left"/>
      <w:pPr>
        <w:ind w:left="3552" w:hanging="360"/>
      </w:pPr>
      <w:rPr>
        <w:rFonts w:hint="default"/>
        <w:lang w:val="en-US" w:eastAsia="en-US" w:bidi="ar-SA"/>
      </w:rPr>
    </w:lvl>
    <w:lvl w:ilvl="4" w:tplc="E97E2070">
      <w:numFmt w:val="bullet"/>
      <w:lvlText w:val="•"/>
      <w:lvlJc w:val="left"/>
      <w:pPr>
        <w:ind w:left="4456" w:hanging="360"/>
      </w:pPr>
      <w:rPr>
        <w:rFonts w:hint="default"/>
        <w:lang w:val="en-US" w:eastAsia="en-US" w:bidi="ar-SA"/>
      </w:rPr>
    </w:lvl>
    <w:lvl w:ilvl="5" w:tplc="B7E2EC5A">
      <w:numFmt w:val="bullet"/>
      <w:lvlText w:val="•"/>
      <w:lvlJc w:val="left"/>
      <w:pPr>
        <w:ind w:left="5360" w:hanging="360"/>
      </w:pPr>
      <w:rPr>
        <w:rFonts w:hint="default"/>
        <w:lang w:val="en-US" w:eastAsia="en-US" w:bidi="ar-SA"/>
      </w:rPr>
    </w:lvl>
    <w:lvl w:ilvl="6" w:tplc="D7EC281C">
      <w:numFmt w:val="bullet"/>
      <w:lvlText w:val="•"/>
      <w:lvlJc w:val="left"/>
      <w:pPr>
        <w:ind w:left="6264" w:hanging="360"/>
      </w:pPr>
      <w:rPr>
        <w:rFonts w:hint="default"/>
        <w:lang w:val="en-US" w:eastAsia="en-US" w:bidi="ar-SA"/>
      </w:rPr>
    </w:lvl>
    <w:lvl w:ilvl="7" w:tplc="0E5AE0AA">
      <w:numFmt w:val="bullet"/>
      <w:lvlText w:val="•"/>
      <w:lvlJc w:val="left"/>
      <w:pPr>
        <w:ind w:left="7168" w:hanging="360"/>
      </w:pPr>
      <w:rPr>
        <w:rFonts w:hint="default"/>
        <w:lang w:val="en-US" w:eastAsia="en-US" w:bidi="ar-SA"/>
      </w:rPr>
    </w:lvl>
    <w:lvl w:ilvl="8" w:tplc="82767E68">
      <w:numFmt w:val="bullet"/>
      <w:lvlText w:val="•"/>
      <w:lvlJc w:val="left"/>
      <w:pPr>
        <w:ind w:left="8072" w:hanging="360"/>
      </w:pPr>
      <w:rPr>
        <w:rFonts w:hint="default"/>
        <w:lang w:val="en-US" w:eastAsia="en-US" w:bidi="ar-SA"/>
      </w:rPr>
    </w:lvl>
  </w:abstractNum>
  <w:abstractNum w:abstractNumId="2" w15:restartNumberingAfterBreak="0">
    <w:nsid w:val="72C83FBE"/>
    <w:multiLevelType w:val="hybridMultilevel"/>
    <w:tmpl w:val="31BC60A4"/>
    <w:lvl w:ilvl="0" w:tplc="F0384D0E">
      <w:numFmt w:val="bullet"/>
      <w:lvlText w:val=""/>
      <w:lvlJc w:val="left"/>
      <w:pPr>
        <w:ind w:left="840" w:hanging="360"/>
      </w:pPr>
      <w:rPr>
        <w:rFonts w:ascii="Symbol" w:eastAsia="Symbol" w:hAnsi="Symbol" w:cs="Symbol" w:hint="default"/>
        <w:color w:val="404040"/>
        <w:w w:val="99"/>
        <w:sz w:val="20"/>
        <w:szCs w:val="20"/>
        <w:lang w:val="en-US" w:eastAsia="en-US" w:bidi="ar-SA"/>
      </w:rPr>
    </w:lvl>
    <w:lvl w:ilvl="1" w:tplc="67DE3906">
      <w:numFmt w:val="bullet"/>
      <w:lvlText w:val="-"/>
      <w:lvlJc w:val="left"/>
      <w:pPr>
        <w:ind w:left="1560" w:hanging="360"/>
      </w:pPr>
      <w:rPr>
        <w:rFonts w:ascii="Courier New" w:eastAsia="Courier New" w:hAnsi="Courier New" w:cs="Courier New" w:hint="default"/>
        <w:color w:val="404040"/>
        <w:w w:val="100"/>
        <w:sz w:val="22"/>
        <w:szCs w:val="22"/>
        <w:lang w:val="en-US" w:eastAsia="en-US" w:bidi="ar-SA"/>
      </w:rPr>
    </w:lvl>
    <w:lvl w:ilvl="2" w:tplc="EA7A0982">
      <w:numFmt w:val="bullet"/>
      <w:lvlText w:val="•"/>
      <w:lvlJc w:val="left"/>
      <w:pPr>
        <w:ind w:left="2484" w:hanging="360"/>
      </w:pPr>
      <w:rPr>
        <w:rFonts w:hint="default"/>
        <w:lang w:val="en-US" w:eastAsia="en-US" w:bidi="ar-SA"/>
      </w:rPr>
    </w:lvl>
    <w:lvl w:ilvl="3" w:tplc="18666B70">
      <w:numFmt w:val="bullet"/>
      <w:lvlText w:val="•"/>
      <w:lvlJc w:val="left"/>
      <w:pPr>
        <w:ind w:left="3408" w:hanging="360"/>
      </w:pPr>
      <w:rPr>
        <w:rFonts w:hint="default"/>
        <w:lang w:val="en-US" w:eastAsia="en-US" w:bidi="ar-SA"/>
      </w:rPr>
    </w:lvl>
    <w:lvl w:ilvl="4" w:tplc="46FA421E">
      <w:numFmt w:val="bullet"/>
      <w:lvlText w:val="•"/>
      <w:lvlJc w:val="left"/>
      <w:pPr>
        <w:ind w:left="4333" w:hanging="360"/>
      </w:pPr>
      <w:rPr>
        <w:rFonts w:hint="default"/>
        <w:lang w:val="en-US" w:eastAsia="en-US" w:bidi="ar-SA"/>
      </w:rPr>
    </w:lvl>
    <w:lvl w:ilvl="5" w:tplc="E32CB7D2">
      <w:numFmt w:val="bullet"/>
      <w:lvlText w:val="•"/>
      <w:lvlJc w:val="left"/>
      <w:pPr>
        <w:ind w:left="5257" w:hanging="360"/>
      </w:pPr>
      <w:rPr>
        <w:rFonts w:hint="default"/>
        <w:lang w:val="en-US" w:eastAsia="en-US" w:bidi="ar-SA"/>
      </w:rPr>
    </w:lvl>
    <w:lvl w:ilvl="6" w:tplc="8FCE7880">
      <w:numFmt w:val="bullet"/>
      <w:lvlText w:val="•"/>
      <w:lvlJc w:val="left"/>
      <w:pPr>
        <w:ind w:left="6182" w:hanging="360"/>
      </w:pPr>
      <w:rPr>
        <w:rFonts w:hint="default"/>
        <w:lang w:val="en-US" w:eastAsia="en-US" w:bidi="ar-SA"/>
      </w:rPr>
    </w:lvl>
    <w:lvl w:ilvl="7" w:tplc="49F0CDB8">
      <w:numFmt w:val="bullet"/>
      <w:lvlText w:val="•"/>
      <w:lvlJc w:val="left"/>
      <w:pPr>
        <w:ind w:left="7106" w:hanging="360"/>
      </w:pPr>
      <w:rPr>
        <w:rFonts w:hint="default"/>
        <w:lang w:val="en-US" w:eastAsia="en-US" w:bidi="ar-SA"/>
      </w:rPr>
    </w:lvl>
    <w:lvl w:ilvl="8" w:tplc="97B8F776">
      <w:numFmt w:val="bullet"/>
      <w:lvlText w:val="•"/>
      <w:lvlJc w:val="left"/>
      <w:pPr>
        <w:ind w:left="8031" w:hanging="360"/>
      </w:pPr>
      <w:rPr>
        <w:rFonts w:hint="default"/>
        <w:lang w:val="en-US"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defaultTabStop w:val="720"/>
  <w:drawingGridHorizontalSpacing w:val="110"/>
  <w:displayHorizontalDrawingGridEvery w:val="2"/>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BB4AD7"/>
    <w:rsid w:val="00007217"/>
    <w:rsid w:val="0005208C"/>
    <w:rsid w:val="000A7E53"/>
    <w:rsid w:val="00124273"/>
    <w:rsid w:val="00157427"/>
    <w:rsid w:val="001B474F"/>
    <w:rsid w:val="001B79AD"/>
    <w:rsid w:val="001C06B8"/>
    <w:rsid w:val="002568B3"/>
    <w:rsid w:val="002A1927"/>
    <w:rsid w:val="002D015B"/>
    <w:rsid w:val="003326C4"/>
    <w:rsid w:val="003512F3"/>
    <w:rsid w:val="0038608E"/>
    <w:rsid w:val="003B66E8"/>
    <w:rsid w:val="003E3A17"/>
    <w:rsid w:val="00573BA0"/>
    <w:rsid w:val="005B4DC0"/>
    <w:rsid w:val="006161AE"/>
    <w:rsid w:val="0064120F"/>
    <w:rsid w:val="00687120"/>
    <w:rsid w:val="00690E72"/>
    <w:rsid w:val="006B57C0"/>
    <w:rsid w:val="00732FBA"/>
    <w:rsid w:val="008169D1"/>
    <w:rsid w:val="0083565B"/>
    <w:rsid w:val="00880224"/>
    <w:rsid w:val="008A3406"/>
    <w:rsid w:val="00945914"/>
    <w:rsid w:val="00964170"/>
    <w:rsid w:val="00982E4F"/>
    <w:rsid w:val="00997DFF"/>
    <w:rsid w:val="009E535A"/>
    <w:rsid w:val="00A02A7A"/>
    <w:rsid w:val="00A71C41"/>
    <w:rsid w:val="00B17A9F"/>
    <w:rsid w:val="00BB4AD7"/>
    <w:rsid w:val="00BE2A35"/>
    <w:rsid w:val="00C81390"/>
    <w:rsid w:val="00D42D60"/>
    <w:rsid w:val="00D5059E"/>
    <w:rsid w:val="00D71217"/>
    <w:rsid w:val="00D843CA"/>
    <w:rsid w:val="00D865CB"/>
    <w:rsid w:val="00DB0B09"/>
    <w:rsid w:val="00DF23AD"/>
    <w:rsid w:val="00E349C5"/>
    <w:rsid w:val="00EA5B85"/>
    <w:rsid w:val="00EE59C1"/>
    <w:rsid w:val="00F01B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4:docId w14:val="2B396D2B"/>
  <w15:docId w15:val="{4CA3B284-AD18-40F6-A533-B256ADE3B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Light" w:eastAsia="Calibri Light" w:hAnsi="Calibri Light" w:cs="Calibri Light"/>
    </w:rPr>
  </w:style>
  <w:style w:type="paragraph" w:styleId="Heading1">
    <w:name w:val="heading 1"/>
    <w:basedOn w:val="Normal"/>
    <w:uiPriority w:val="9"/>
    <w:qFormat/>
    <w:pPr>
      <w:ind w:left="120"/>
      <w:outlineLvl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pPr>
      <w:ind w:left="480"/>
    </w:pPr>
  </w:style>
  <w:style w:type="paragraph" w:styleId="BodyText">
    <w:name w:val="Body Text"/>
    <w:basedOn w:val="Normal"/>
    <w:uiPriority w:val="1"/>
    <w:qFormat/>
  </w:style>
  <w:style w:type="paragraph" w:styleId="Title">
    <w:name w:val="Title"/>
    <w:basedOn w:val="Normal"/>
    <w:uiPriority w:val="10"/>
    <w:qFormat/>
    <w:pPr>
      <w:spacing w:before="90"/>
      <w:ind w:left="2797" w:right="2858"/>
      <w:jc w:val="center"/>
    </w:pPr>
    <w:rPr>
      <w:sz w:val="32"/>
      <w:szCs w:val="32"/>
    </w:rPr>
  </w:style>
  <w:style w:type="paragraph" w:styleId="ListParagraph">
    <w:name w:val="List Paragraph"/>
    <w:basedOn w:val="Normal"/>
    <w:uiPriority w:val="1"/>
    <w:qFormat/>
    <w:pPr>
      <w:spacing w:before="19"/>
      <w:ind w:left="840" w:hanging="361"/>
    </w:pPr>
  </w:style>
  <w:style w:type="paragraph" w:customStyle="1" w:styleId="TableParagraph">
    <w:name w:val="Table Paragraph"/>
    <w:basedOn w:val="Normal"/>
    <w:uiPriority w:val="1"/>
    <w:qFormat/>
    <w:pPr>
      <w:spacing w:before="47" w:line="223" w:lineRule="exact"/>
      <w:ind w:left="107"/>
    </w:pPr>
  </w:style>
  <w:style w:type="paragraph" w:styleId="Header">
    <w:name w:val="header"/>
    <w:basedOn w:val="Normal"/>
    <w:link w:val="HeaderChar"/>
    <w:uiPriority w:val="99"/>
    <w:unhideWhenUsed/>
    <w:rsid w:val="002A1927"/>
    <w:pPr>
      <w:tabs>
        <w:tab w:val="center" w:pos="4680"/>
        <w:tab w:val="right" w:pos="9360"/>
      </w:tabs>
    </w:pPr>
  </w:style>
  <w:style w:type="character" w:customStyle="1" w:styleId="HeaderChar">
    <w:name w:val="Header Char"/>
    <w:basedOn w:val="DefaultParagraphFont"/>
    <w:link w:val="Header"/>
    <w:uiPriority w:val="99"/>
    <w:rsid w:val="002A1927"/>
    <w:rPr>
      <w:rFonts w:ascii="Calibri Light" w:eastAsia="Calibri Light" w:hAnsi="Calibri Light" w:cs="Calibri Light"/>
    </w:rPr>
  </w:style>
  <w:style w:type="paragraph" w:styleId="Footer">
    <w:name w:val="footer"/>
    <w:basedOn w:val="Normal"/>
    <w:link w:val="FooterChar"/>
    <w:uiPriority w:val="99"/>
    <w:unhideWhenUsed/>
    <w:rsid w:val="002A1927"/>
    <w:pPr>
      <w:tabs>
        <w:tab w:val="center" w:pos="4680"/>
        <w:tab w:val="right" w:pos="9360"/>
      </w:tabs>
    </w:pPr>
  </w:style>
  <w:style w:type="character" w:customStyle="1" w:styleId="FooterChar">
    <w:name w:val="Footer Char"/>
    <w:basedOn w:val="DefaultParagraphFont"/>
    <w:link w:val="Footer"/>
    <w:uiPriority w:val="99"/>
    <w:rsid w:val="002A1927"/>
    <w:rPr>
      <w:rFonts w:ascii="Calibri Light" w:eastAsia="Calibri Light" w:hAnsi="Calibri Light" w:cs="Calibri Light"/>
    </w:rPr>
  </w:style>
  <w:style w:type="character" w:styleId="Hyperlink">
    <w:name w:val="Hyperlink"/>
    <w:basedOn w:val="DefaultParagraphFont"/>
    <w:uiPriority w:val="99"/>
    <w:unhideWhenUsed/>
    <w:rsid w:val="0064120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4.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footer4.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10</Pages>
  <Words>3259</Words>
  <Characters>18578</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eTRM Measure Documentation</vt:lpstr>
    </vt:vector>
  </TitlesOfParts>
  <Company/>
  <LinksUpToDate>false</LinksUpToDate>
  <CharactersWithSpaces>21794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eTRM Measure Documentation</dc:title>
  <dc:creator>Jennifer Holmes</dc:creator>
  <cp:lastModifiedBy>Rosillo Sr., Adan</cp:lastModifiedBy>
  <cp:revision>7</cp:revision>
  <dcterms:created xsi:type="dcterms:W3CDTF">2021-06-17T06:10:00Z</dcterms:created>
  <dcterms:modified xsi:type="dcterms:W3CDTF">2021-06-18T20:28:00Z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2019-03-29T00:00:00Z</vt:filetime>
  </property>
  <property fmtid="{D5CDD505-2E9C-101B-9397-08002B2CF9AE}" pid="3" name="Creator">
    <vt:lpwstr>Microsoft® Word for Office 365</vt:lpwstr>
  </property>
  <property fmtid="{D5CDD505-2E9C-101B-9397-08002B2CF9AE}" pid="4" name="LastSaved">
    <vt:filetime>2020-12-04T00:00:00Z</vt:filetime>
  </property>
</Properties>
</file>